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2B7C6F7D" w:rsidR="00844ADA" w:rsidRPr="00467A99" w:rsidRDefault="00CB132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April 8</w:t>
      </w:r>
      <w:r w:rsidR="0079183D">
        <w:rPr>
          <w:rFonts w:ascii="Cambria" w:hAnsi="Cambria"/>
          <w:sz w:val="22"/>
        </w:rPr>
        <w:t>th</w:t>
      </w:r>
      <w:r w:rsidR="00FA6033">
        <w:rPr>
          <w:rFonts w:ascii="Cambria" w:hAnsi="Cambria"/>
          <w:sz w:val="22"/>
        </w:rPr>
        <w:t xml:space="preserve"> 2019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2462"/>
        <w:gridCol w:w="1618"/>
        <w:gridCol w:w="1184"/>
        <w:gridCol w:w="2064"/>
      </w:tblGrid>
      <w:tr w:rsidR="0079183D" w:rsidRPr="00467A99" w14:paraId="0BE18DC1" w14:textId="6D2B53DF" w:rsidTr="00C74D8F">
        <w:tc>
          <w:tcPr>
            <w:tcW w:w="1232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872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1166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101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79183D" w:rsidRPr="00467A99" w14:paraId="14C390FA" w14:textId="7DCBE8FC" w:rsidTr="00C74D8F">
        <w:tc>
          <w:tcPr>
            <w:tcW w:w="1232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872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01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2BB6181" w14:textId="6C0A80A3" w:rsidTr="00C74D8F">
        <w:tc>
          <w:tcPr>
            <w:tcW w:w="1232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872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</w:p>
        </w:tc>
        <w:tc>
          <w:tcPr>
            <w:tcW w:w="1101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EF3600" w14:textId="77777777" w:rsidTr="00C74D8F">
        <w:tc>
          <w:tcPr>
            <w:tcW w:w="1232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872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2E681B68" w14:textId="77777777" w:rsidTr="00C74D8F">
        <w:tc>
          <w:tcPr>
            <w:tcW w:w="1232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872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629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79183D" w:rsidRPr="00467A99" w14:paraId="638288B1" w14:textId="179CB67C" w:rsidTr="00C74D8F">
        <w:tc>
          <w:tcPr>
            <w:tcW w:w="1232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872" w:type="pct"/>
          </w:tcPr>
          <w:p w14:paraId="23593C05" w14:textId="74B6555C" w:rsidR="00CE4F61" w:rsidRPr="009629FF" w:rsidRDefault="005E73D8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ASdraftminutes3-11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-18</w:t>
            </w:r>
          </w:p>
        </w:tc>
        <w:tc>
          <w:tcPr>
            <w:tcW w:w="1166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51D921F" w14:textId="220403EE" w:rsidTr="00C74D8F">
        <w:tc>
          <w:tcPr>
            <w:tcW w:w="1232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872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9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101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E4F59EE" w14:textId="13ED95D8" w:rsidTr="00C74D8F">
        <w:tc>
          <w:tcPr>
            <w:tcW w:w="1232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872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629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6FF99003" w14:textId="61DDC861" w:rsidTr="00C74D8F">
        <w:tc>
          <w:tcPr>
            <w:tcW w:w="1232" w:type="pct"/>
          </w:tcPr>
          <w:p w14:paraId="393B143C" w14:textId="3B2CE852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872" w:type="pct"/>
          </w:tcPr>
          <w:p w14:paraId="0020AC23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2A841C76" w14:textId="77EAA74A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A9923A7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145D1652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6B071F46" w14:textId="77777777" w:rsidTr="00C74D8F">
        <w:tc>
          <w:tcPr>
            <w:tcW w:w="1232" w:type="pct"/>
          </w:tcPr>
          <w:p w14:paraId="6027FD80" w14:textId="75B10B33" w:rsidR="00B05FFB" w:rsidRPr="00156526" w:rsidRDefault="005E73D8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Plenary Resolutions</w:t>
            </w:r>
          </w:p>
        </w:tc>
        <w:tc>
          <w:tcPr>
            <w:tcW w:w="872" w:type="pct"/>
          </w:tcPr>
          <w:p w14:paraId="38C82AFB" w14:textId="7C4436DE" w:rsidR="00B05FFB" w:rsidRPr="00293804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99326A4" w14:textId="5F3FCE6A" w:rsidR="00B05FFB" w:rsidRPr="00CB132E" w:rsidRDefault="00CB132E" w:rsidP="00B05FFB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CB132E">
              <w:rPr>
                <w:rFonts w:ascii="Cambria" w:hAnsi="Cambria"/>
                <w:sz w:val="20"/>
                <w:szCs w:val="20"/>
                <w:lang w:bidi="x-none"/>
              </w:rPr>
              <w:t>Resolutions Packet S19 Thursday 4.1.19</w:t>
            </w:r>
          </w:p>
        </w:tc>
        <w:tc>
          <w:tcPr>
            <w:tcW w:w="1166" w:type="pct"/>
          </w:tcPr>
          <w:p w14:paraId="7934FF0C" w14:textId="11F59C51" w:rsidR="00B05FFB" w:rsidRDefault="005E73D8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</w:t>
            </w:r>
            <w:r w:rsidR="00B05FFB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29" w:type="pct"/>
          </w:tcPr>
          <w:p w14:paraId="0129709D" w14:textId="278E72F3" w:rsidR="00B05FFB" w:rsidRDefault="00C74D8F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01" w:type="pct"/>
          </w:tcPr>
          <w:p w14:paraId="2DD1F740" w14:textId="7586A361" w:rsidR="00B05FFB" w:rsidRPr="00C72A07" w:rsidRDefault="005E73D8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have a chance to discuss/provide feedback regarding plenary resolutions</w:t>
            </w:r>
          </w:p>
        </w:tc>
      </w:tr>
      <w:tr w:rsidR="001D423F" w:rsidRPr="00467A99" w14:paraId="13B50FA2" w14:textId="13251A90" w:rsidTr="00C74D8F">
        <w:tc>
          <w:tcPr>
            <w:tcW w:w="1232" w:type="pct"/>
          </w:tcPr>
          <w:p w14:paraId="759F98B4" w14:textId="538A4BEB" w:rsidR="00B05FFB" w:rsidRDefault="005E73D8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Vision for Success/Local Goals</w:t>
            </w:r>
          </w:p>
        </w:tc>
        <w:tc>
          <w:tcPr>
            <w:tcW w:w="872" w:type="pct"/>
          </w:tcPr>
          <w:p w14:paraId="35246472" w14:textId="431C7D4C" w:rsidR="00B05FFB" w:rsidRPr="00DB154D" w:rsidRDefault="005E73D8" w:rsidP="005E73D8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5E73D8">
              <w:rPr>
                <w:rFonts w:ascii="Cambria" w:hAnsi="Cambria"/>
                <w:sz w:val="20"/>
                <w:szCs w:val="20"/>
                <w:lang w:bidi="x-none"/>
              </w:rPr>
              <w:t>VfS_Goals_1_to_4_AcaSenate</w:t>
            </w:r>
          </w:p>
        </w:tc>
        <w:tc>
          <w:tcPr>
            <w:tcW w:w="1166" w:type="pct"/>
          </w:tcPr>
          <w:p w14:paraId="06B23A83" w14:textId="0C7656E8" w:rsidR="00B05FFB" w:rsidRDefault="005E73D8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Discussion/1</w:t>
            </w:r>
            <w:r w:rsidRPr="005E73D8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629" w:type="pct"/>
          </w:tcPr>
          <w:p w14:paraId="6183ADF2" w14:textId="24D23325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101" w:type="pct"/>
          </w:tcPr>
          <w:p w14:paraId="1178D43E" w14:textId="79E32397" w:rsidR="00B05FFB" w:rsidRPr="00C72A07" w:rsidRDefault="00C74D8F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</w:t>
            </w:r>
            <w:r w:rsidR="005E73D8">
              <w:rPr>
                <w:rFonts w:ascii="Cambria" w:hAnsi="Cambria"/>
                <w:sz w:val="20"/>
                <w:lang w:bidi="x-none"/>
              </w:rPr>
              <w:t>will learn of/discuss local goals as related to the Vision for Success</w:t>
            </w:r>
          </w:p>
        </w:tc>
      </w:tr>
      <w:tr w:rsidR="001D423F" w:rsidRPr="00467A99" w14:paraId="72D224CD" w14:textId="24674420" w:rsidTr="00C74D8F">
        <w:tc>
          <w:tcPr>
            <w:tcW w:w="1232" w:type="pct"/>
          </w:tcPr>
          <w:p w14:paraId="7AF05215" w14:textId="488C0461" w:rsidR="00B05FFB" w:rsidRPr="00BD220D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872" w:type="pct"/>
          </w:tcPr>
          <w:p w14:paraId="770BBD0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7089FA9F" w14:textId="3AA2569F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2AE3737C" w14:textId="19542BB1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101" w:type="pct"/>
          </w:tcPr>
          <w:p w14:paraId="28AD3BDE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4F2000AA" w14:textId="18DE8EFD" w:rsidTr="00C74D8F">
        <w:tc>
          <w:tcPr>
            <w:tcW w:w="1232" w:type="pct"/>
          </w:tcPr>
          <w:p w14:paraId="0818F7CB" w14:textId="3D62F124" w:rsidR="00B05FFB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14010AF" w14:textId="77777777" w:rsidR="00682D68" w:rsidRDefault="00682D6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70C9D778" w14:textId="55B87085" w:rsidR="00DB154D" w:rsidRPr="001C3429" w:rsidRDefault="008E4E17" w:rsidP="001C3429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 w:rsidRPr="001C3429">
              <w:rPr>
                <w:rFonts w:ascii="Cambria" w:hAnsi="Cambria"/>
                <w:sz w:val="22"/>
                <w:lang w:bidi="x-none"/>
              </w:rPr>
              <w:t>FA seats on governance committees</w:t>
            </w:r>
          </w:p>
          <w:p w14:paraId="41F100CC" w14:textId="3B002D1E" w:rsidR="001C3429" w:rsidRDefault="002411A9" w:rsidP="001C3429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CVC-OEI Grant</w:t>
            </w:r>
          </w:p>
          <w:p w14:paraId="204F6B81" w14:textId="742E86F6" w:rsidR="006E2F05" w:rsidRDefault="003008FD" w:rsidP="001C3429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Part Time Faculty Celebration</w:t>
            </w:r>
          </w:p>
          <w:p w14:paraId="051D5F4A" w14:textId="132C282C" w:rsidR="007048D0" w:rsidRPr="001C3429" w:rsidRDefault="007048D0" w:rsidP="001C3429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Next Senate Meeting Date</w:t>
            </w:r>
          </w:p>
          <w:p w14:paraId="47202281" w14:textId="70DB0355" w:rsidR="00B05FFB" w:rsidRPr="009E5D82" w:rsidRDefault="00B05FFB" w:rsidP="008E4E17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72" w:type="pct"/>
          </w:tcPr>
          <w:p w14:paraId="11E15F3F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28B98E6" w14:textId="77777777" w:rsidR="00B05FFB" w:rsidRPr="0079183D" w:rsidRDefault="00B05FFB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1166" w:type="pct"/>
          </w:tcPr>
          <w:p w14:paraId="36D89225" w14:textId="185FE973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9" w:type="pct"/>
          </w:tcPr>
          <w:p w14:paraId="0BB8E46E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101" w:type="pct"/>
          </w:tcPr>
          <w:p w14:paraId="2D20437F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6FDDB84D" w14:textId="49CA32D5" w:rsidTr="00C74D8F">
        <w:tc>
          <w:tcPr>
            <w:tcW w:w="1232" w:type="pct"/>
          </w:tcPr>
          <w:p w14:paraId="19C65626" w14:textId="77777777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872" w:type="pct"/>
          </w:tcPr>
          <w:p w14:paraId="286C9622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66" w:type="pct"/>
          </w:tcPr>
          <w:p w14:paraId="68E3A1DB" w14:textId="30758B45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9" w:type="pct"/>
          </w:tcPr>
          <w:p w14:paraId="4B9A0C7B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01" w:type="pct"/>
          </w:tcPr>
          <w:p w14:paraId="6D0CEB18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1357B6A8" w14:textId="7FC6A912" w:rsidR="003809C5" w:rsidRDefault="005E73D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ASdraftminutes3.11</w:t>
      </w:r>
      <w:r w:rsidR="001C3B30">
        <w:rPr>
          <w:rFonts w:ascii="Cambria" w:hAnsi="Cambria"/>
          <w:sz w:val="22"/>
          <w:lang w:bidi="x-none"/>
        </w:rPr>
        <w:t>.19</w:t>
      </w:r>
    </w:p>
    <w:p w14:paraId="22B83CEA" w14:textId="1105AD69" w:rsidR="00C24D4C" w:rsidRPr="00C24D4C" w:rsidRDefault="00C24D4C" w:rsidP="00D14B24">
      <w:pPr>
        <w:tabs>
          <w:tab w:val="left" w:pos="360"/>
        </w:tabs>
        <w:rPr>
          <w:rFonts w:ascii="Cambria" w:hAnsi="Cambria"/>
          <w:sz w:val="22"/>
          <w:szCs w:val="22"/>
          <w:lang w:bidi="x-none"/>
        </w:rPr>
      </w:pPr>
      <w:r w:rsidRPr="00C24D4C">
        <w:rPr>
          <w:rFonts w:ascii="Cambria" w:hAnsi="Cambria"/>
          <w:sz w:val="22"/>
          <w:szCs w:val="22"/>
          <w:lang w:bidi="x-none"/>
        </w:rPr>
        <w:t>Resolutions Packet S19 Thursday 4.1.19</w:t>
      </w:r>
    </w:p>
    <w:p w14:paraId="4F535270" w14:textId="77777777" w:rsidR="005E73D8" w:rsidRDefault="005E73D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5E73D8">
        <w:rPr>
          <w:rFonts w:ascii="Cambria" w:hAnsi="Cambria"/>
          <w:sz w:val="22"/>
          <w:lang w:bidi="x-none"/>
        </w:rPr>
        <w:t>VfS_Goals_1_to_4_AcaSenate</w:t>
      </w:r>
    </w:p>
    <w:p w14:paraId="282C84E1" w14:textId="77777777" w:rsidR="00B33FB6" w:rsidRDefault="00B33FB6" w:rsidP="00D14B24">
      <w:pPr>
        <w:tabs>
          <w:tab w:val="left" w:pos="360"/>
        </w:tabs>
        <w:rPr>
          <w:rFonts w:ascii="Cambria" w:hAnsi="Cambria"/>
          <w:sz w:val="22"/>
          <w:szCs w:val="22"/>
          <w:lang w:bidi="x-none"/>
        </w:rPr>
      </w:pPr>
    </w:p>
    <w:p w14:paraId="448C5EBC" w14:textId="77777777" w:rsidR="00D038DD" w:rsidRDefault="00D038D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5A643D6E" w14:textId="77777777" w:rsidR="008E4E17" w:rsidRPr="008E4E17" w:rsidRDefault="008E4E17" w:rsidP="008E4E17">
      <w:pPr>
        <w:rPr>
          <w:rFonts w:ascii="Cambria" w:hAnsi="Cambria"/>
          <w:sz w:val="22"/>
          <w:szCs w:val="22"/>
        </w:rPr>
      </w:pPr>
      <w:r w:rsidRPr="008E4E17">
        <w:rPr>
          <w:rFonts w:ascii="Cambria" w:hAnsi="Cambria"/>
          <w:sz w:val="22"/>
          <w:szCs w:val="22"/>
        </w:rPr>
        <w:t>Senior Program Coordinator, Workforce: Bruce McLeod</w:t>
      </w:r>
    </w:p>
    <w:p w14:paraId="52957AE7" w14:textId="77777777" w:rsidR="008E4E17" w:rsidRPr="008E4E17" w:rsidRDefault="008E4E17" w:rsidP="008E4E17">
      <w:pPr>
        <w:rPr>
          <w:rFonts w:ascii="Cambria" w:hAnsi="Cambria"/>
          <w:sz w:val="22"/>
          <w:szCs w:val="22"/>
        </w:rPr>
      </w:pPr>
      <w:r w:rsidRPr="008E4E17">
        <w:rPr>
          <w:rFonts w:ascii="Cambria" w:hAnsi="Cambria"/>
          <w:sz w:val="22"/>
          <w:szCs w:val="22"/>
        </w:rPr>
        <w:tab/>
        <w:t>Foundation Executive Director: Brenda Hanning</w:t>
      </w:r>
    </w:p>
    <w:p w14:paraId="4B98D6DE" w14:textId="77777777" w:rsidR="008E4E17" w:rsidRDefault="008E4E17" w:rsidP="008E4E17">
      <w:pPr>
        <w:rPr>
          <w:rFonts w:ascii="Cambria" w:hAnsi="Cambria"/>
          <w:sz w:val="22"/>
          <w:szCs w:val="22"/>
        </w:rPr>
      </w:pPr>
      <w:r w:rsidRPr="008E4E17">
        <w:rPr>
          <w:rFonts w:ascii="Cambria" w:hAnsi="Cambria"/>
          <w:sz w:val="22"/>
          <w:szCs w:val="22"/>
        </w:rPr>
        <w:tab/>
        <w:t>Chief of Police Advisory Board: David Marasco</w:t>
      </w:r>
    </w:p>
    <w:p w14:paraId="51D98FDF" w14:textId="22714DA8" w:rsidR="008E4E17" w:rsidRPr="008E4E17" w:rsidRDefault="008E4E17" w:rsidP="008E4E1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Revenue and Resources Committee: Mary Anne Sunseri </w:t>
      </w:r>
    </w:p>
    <w:p w14:paraId="4177F284" w14:textId="77777777" w:rsidR="008E4E17" w:rsidRPr="008E4E17" w:rsidRDefault="008E4E17" w:rsidP="008E4E17">
      <w:pPr>
        <w:rPr>
          <w:rFonts w:ascii="Cambria" w:hAnsi="Cambria"/>
          <w:sz w:val="22"/>
          <w:szCs w:val="22"/>
        </w:rPr>
      </w:pPr>
    </w:p>
    <w:p w14:paraId="319F9310" w14:textId="2B20C939" w:rsidR="008E4E17" w:rsidRPr="008E4E17" w:rsidRDefault="008E4E17" w:rsidP="008E4E17">
      <w:pPr>
        <w:rPr>
          <w:rFonts w:ascii="Cambria" w:hAnsi="Cambria"/>
          <w:sz w:val="22"/>
          <w:szCs w:val="22"/>
        </w:rPr>
      </w:pPr>
    </w:p>
    <w:p w14:paraId="4C07965D" w14:textId="77777777" w:rsidR="00B5313E" w:rsidRPr="003F7725" w:rsidRDefault="00B5313E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83AF5A2" w14:textId="38EE4488" w:rsidR="00C84193" w:rsidRPr="00C84193" w:rsidRDefault="00C84193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School Relations Specialist Search Committee: 1 faculty rep</w:t>
      </w:r>
      <w:bookmarkStart w:id="0" w:name="_GoBack"/>
      <w:bookmarkEnd w:id="0"/>
    </w:p>
    <w:p w14:paraId="335C5AD9" w14:textId="52096791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7B1CAD">
        <w:rPr>
          <w:rFonts w:asciiTheme="minorHAnsi" w:hAnsiTheme="minorHAnsi"/>
          <w:sz w:val="22"/>
          <w:szCs w:val="22"/>
        </w:rPr>
        <w:t xml:space="preserve">. 1 recorder. </w:t>
      </w:r>
    </w:p>
    <w:p w14:paraId="45D91F37" w14:textId="019ACFC1" w:rsidR="00CF13CF" w:rsidRDefault="008E4E17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Budget Advisory Committee</w:t>
      </w:r>
    </w:p>
    <w:p w14:paraId="1EDFB7B2" w14:textId="78047E9A" w:rsidR="007B1CAD" w:rsidRDefault="007B1CAD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A94459" w:rsidRDefault="00AA59E3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94459">
              <w:rPr>
                <w:rFonts w:ascii="Cambria" w:eastAsia="Cambria" w:hAnsi="Cambria" w:cs="Cambria"/>
                <w:strike/>
                <w:sz w:val="21"/>
                <w:szCs w:val="22"/>
              </w:rPr>
              <w:t>2/4/19</w:t>
            </w:r>
          </w:p>
          <w:p w14:paraId="0290C732" w14:textId="1CC49623" w:rsidR="006419B0" w:rsidRPr="002A16A7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7F04DE"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11/19</w:t>
            </w:r>
          </w:p>
          <w:p w14:paraId="07368290" w14:textId="40E16AD8" w:rsidR="006419B0" w:rsidRPr="00D038DD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7F04DE" w:rsidRPr="00D038DD">
              <w:rPr>
                <w:rFonts w:ascii="Cambria" w:eastAsia="Cambria" w:hAnsi="Cambria" w:cs="Cambria"/>
                <w:strike/>
                <w:sz w:val="21"/>
                <w:szCs w:val="22"/>
              </w:rPr>
              <w:t>5/19</w:t>
            </w:r>
          </w:p>
          <w:p w14:paraId="513B8709" w14:textId="5A8C9C54" w:rsidR="006419B0" w:rsidRPr="008E4E17" w:rsidRDefault="007F04DE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E4E17">
              <w:rPr>
                <w:rFonts w:ascii="Cambria" w:eastAsia="Cambria" w:hAnsi="Cambria" w:cs="Cambria"/>
                <w:strike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49897264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3F5B3A94" w:rsidR="006419B0" w:rsidRPr="001A595A" w:rsidRDefault="008E4E17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1EE1C8E3" w14:textId="44DDF7FC" w:rsidR="00AA59E3" w:rsidRDefault="00C8419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AA59E3" w:rsidRPr="00AA59E3">
          <w:rPr>
            <w:rStyle w:val="Hyperlink"/>
            <w:rFonts w:ascii="Cambria" w:hAnsi="Cambria"/>
            <w:sz w:val="22"/>
          </w:rPr>
          <w:t>2019 Spring Plenary Session</w:t>
        </w:r>
      </w:hyperlink>
      <w:r w:rsidR="00AA59E3">
        <w:rPr>
          <w:rFonts w:ascii="Cambria" w:hAnsi="Cambria"/>
          <w:sz w:val="22"/>
        </w:rPr>
        <w:t>, April 11-13 2019, Westin San Francisco Airport</w:t>
      </w:r>
    </w:p>
    <w:p w14:paraId="127F4D86" w14:textId="74C9460D" w:rsidR="00AA59E3" w:rsidRDefault="00C8419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AA59E3" w:rsidRPr="00AA59E3">
          <w:rPr>
            <w:rStyle w:val="Hyperlink"/>
            <w:rFonts w:ascii="Cambria" w:hAnsi="Cambria"/>
            <w:sz w:val="22"/>
          </w:rPr>
          <w:t>Career and Noncredit Institute</w:t>
        </w:r>
      </w:hyperlink>
      <w:r w:rsidR="00AA59E3">
        <w:rPr>
          <w:rFonts w:ascii="Cambria" w:hAnsi="Cambria"/>
          <w:sz w:val="22"/>
        </w:rPr>
        <w:t>, April 25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-27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Double Tree by Hilton San Diego Mission Valley</w:t>
      </w:r>
    </w:p>
    <w:p w14:paraId="68915FF3" w14:textId="2C9EB936" w:rsidR="00AA59E3" w:rsidRDefault="00C8419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AA59E3" w:rsidRPr="00AA59E3">
          <w:rPr>
            <w:rStyle w:val="Hyperlink"/>
            <w:rFonts w:ascii="Cambria" w:hAnsi="Cambria"/>
            <w:sz w:val="22"/>
          </w:rPr>
          <w:t>2019 Faculty Leadership Institute</w:t>
        </w:r>
      </w:hyperlink>
      <w:r w:rsidR="00AA59E3">
        <w:rPr>
          <w:rFonts w:ascii="Cambria" w:hAnsi="Cambria"/>
          <w:sz w:val="22"/>
        </w:rPr>
        <w:t>, June 13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-15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Sheraton Grand Sacramento Hotel</w:t>
      </w:r>
    </w:p>
    <w:p w14:paraId="2C1AD79A" w14:textId="77777777" w:rsidR="00AA59E3" w:rsidRPr="00467A99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562B4159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>Isaac Escoto</w:t>
      </w:r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>, Ben Armerding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Schaefers (AS Secretary 19’), </w:t>
      </w:r>
      <w:r>
        <w:rPr>
          <w:rFonts w:asciiTheme="minorHAnsi" w:hAnsiTheme="minorHAnsi" w:cs="Times"/>
        </w:rPr>
        <w:t>Tracee Cunningham (Cnsl), Voltaire Villanueva (Cnsl),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>aela Agyare (Library), Amber La Piana (LA), David McCormick (LA), Hilary Gomes (FA/Comm), Jordan Fong (FA/Comm),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Sunseri</w:t>
      </w:r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>
        <w:rPr>
          <w:rFonts w:asciiTheme="minorHAnsi" w:hAnsiTheme="minorHAnsi" w:cs="Times"/>
        </w:rPr>
        <w:t xml:space="preserve">Robert Cormia (PSME), </w:t>
      </w:r>
      <w:r w:rsidR="00811124">
        <w:rPr>
          <w:rFonts w:asciiTheme="minorHAnsi" w:hAnsiTheme="minorHAnsi" w:cs="Times"/>
        </w:rPr>
        <w:t>David Marasco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Mimi Overton (SRC), Carolyn Holcroft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4B3B14">
        <w:rPr>
          <w:rFonts w:asciiTheme="minorHAnsi" w:hAnsiTheme="minorHAnsi" w:cs="Times"/>
        </w:rPr>
        <w:t xml:space="preserve"> Chelsey</w:t>
      </w:r>
      <w:r w:rsidR="00FD61A6">
        <w:rPr>
          <w:rFonts w:asciiTheme="minorHAnsi" w:hAnsiTheme="minorHAnsi" w:cs="Times"/>
        </w:rPr>
        <w:t xml:space="preserve">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6F03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00A8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1A7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429"/>
    <w:rsid w:val="001C3B30"/>
    <w:rsid w:val="001C4F4E"/>
    <w:rsid w:val="001C5B27"/>
    <w:rsid w:val="001C5DA3"/>
    <w:rsid w:val="001C6BCF"/>
    <w:rsid w:val="001C7AE4"/>
    <w:rsid w:val="001D0277"/>
    <w:rsid w:val="001D337F"/>
    <w:rsid w:val="001D423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DB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1A9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16A7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5DCB"/>
    <w:rsid w:val="002F69C0"/>
    <w:rsid w:val="002F6BAA"/>
    <w:rsid w:val="003008FD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3B14"/>
    <w:rsid w:val="004B460B"/>
    <w:rsid w:val="004B52BB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6C23"/>
    <w:rsid w:val="005E7342"/>
    <w:rsid w:val="005E73D8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2D68"/>
    <w:rsid w:val="006830D1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0DDD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2F05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8D0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5D53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0888"/>
    <w:rsid w:val="007B0E48"/>
    <w:rsid w:val="007B1787"/>
    <w:rsid w:val="007B1CAD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4E17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459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5FFB"/>
    <w:rsid w:val="00B07416"/>
    <w:rsid w:val="00B135B7"/>
    <w:rsid w:val="00B14790"/>
    <w:rsid w:val="00B156A7"/>
    <w:rsid w:val="00B16791"/>
    <w:rsid w:val="00B167E3"/>
    <w:rsid w:val="00B17D3F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313E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4D4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4D8F"/>
    <w:rsid w:val="00C777BD"/>
    <w:rsid w:val="00C77AF6"/>
    <w:rsid w:val="00C77F9E"/>
    <w:rsid w:val="00C8113B"/>
    <w:rsid w:val="00C82F49"/>
    <w:rsid w:val="00C83346"/>
    <w:rsid w:val="00C84193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132E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3CF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8DD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54D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A0A17"/>
    <w:rsid w:val="00FA1838"/>
    <w:rsid w:val="00FA1DFF"/>
    <w:rsid w:val="00FA1E34"/>
    <w:rsid w:val="00FA3204"/>
    <w:rsid w:val="00FA5074"/>
    <w:rsid w:val="00FA544C"/>
    <w:rsid w:val="00FA6033"/>
    <w:rsid w:val="00FB1821"/>
    <w:rsid w:val="00FB3968"/>
    <w:rsid w:val="00FB3B05"/>
    <w:rsid w:val="00FB3B50"/>
    <w:rsid w:val="00FB6CC9"/>
    <w:rsid w:val="00FB77AD"/>
    <w:rsid w:val="00FC2C14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6-13-180000-2019-06-15-190000/2019-faculty-leadership-instit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4-25-180000-2019-04-27-190000/2019-career-and-noncredit-institu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9-04-11-150000-2019-04-13-230000/2019-spring-plenary-session" TargetMode="Externa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4571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9</cp:revision>
  <cp:lastPrinted>2019-01-28T21:18:00Z</cp:lastPrinted>
  <dcterms:created xsi:type="dcterms:W3CDTF">2019-04-05T03:41:00Z</dcterms:created>
  <dcterms:modified xsi:type="dcterms:W3CDTF">2019-04-05T06:23:00Z</dcterms:modified>
  <cp:category/>
</cp:coreProperties>
</file>