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34DEB6B8" w:rsidR="00844ADA" w:rsidRPr="00467A99" w:rsidRDefault="00724B59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April 15</w:t>
      </w:r>
      <w:r w:rsidR="0079183D">
        <w:rPr>
          <w:rFonts w:ascii="Cambria" w:hAnsi="Cambria"/>
          <w:sz w:val="22"/>
        </w:rPr>
        <w:t>th</w:t>
      </w:r>
      <w:r w:rsidR="00FA6033">
        <w:rPr>
          <w:rFonts w:ascii="Cambria" w:hAnsi="Cambria"/>
          <w:sz w:val="22"/>
        </w:rPr>
        <w:t xml:space="preserve"> 2019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3"/>
        <w:gridCol w:w="3029"/>
        <w:gridCol w:w="1294"/>
        <w:gridCol w:w="1591"/>
        <w:gridCol w:w="2019"/>
      </w:tblGrid>
      <w:tr w:rsidR="00BA3302" w:rsidRPr="00467A99" w14:paraId="0BE18DC1" w14:textId="6D2B53DF" w:rsidTr="00C74D8F">
        <w:tc>
          <w:tcPr>
            <w:tcW w:w="1232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872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1166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101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BA3302" w:rsidRPr="00467A99" w14:paraId="14C390FA" w14:textId="7DCBE8FC" w:rsidTr="00C74D8F">
        <w:tc>
          <w:tcPr>
            <w:tcW w:w="1232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872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1101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BA3302" w:rsidRPr="00467A99" w14:paraId="52BB6181" w14:textId="6C0A80A3" w:rsidTr="00C74D8F">
        <w:tc>
          <w:tcPr>
            <w:tcW w:w="1232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872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</w:p>
        </w:tc>
        <w:tc>
          <w:tcPr>
            <w:tcW w:w="1101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BA3302" w:rsidRPr="00467A99" w14:paraId="4FEF3600" w14:textId="77777777" w:rsidTr="00C74D8F">
        <w:tc>
          <w:tcPr>
            <w:tcW w:w="1232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872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BA3302" w:rsidRPr="00467A99" w14:paraId="2E681B68" w14:textId="77777777" w:rsidTr="00C74D8F">
        <w:tc>
          <w:tcPr>
            <w:tcW w:w="1232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872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629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101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BA3302" w:rsidRPr="00467A99" w14:paraId="638288B1" w14:textId="179CB67C" w:rsidTr="00C74D8F">
        <w:tc>
          <w:tcPr>
            <w:tcW w:w="1232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872" w:type="pct"/>
          </w:tcPr>
          <w:p w14:paraId="23593C05" w14:textId="1029DD87" w:rsidR="00CE4F61" w:rsidRPr="009629FF" w:rsidRDefault="00724B59" w:rsidP="00CE4F61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>
              <w:rPr>
                <w:rFonts w:ascii="Cambria" w:hAnsi="Cambria"/>
                <w:sz w:val="20"/>
                <w:szCs w:val="20"/>
                <w:lang w:bidi="x-none"/>
              </w:rPr>
              <w:t>ASdraftminutes4-8</w:t>
            </w:r>
            <w:r w:rsidR="00CE4F61" w:rsidRPr="009629FF">
              <w:rPr>
                <w:rFonts w:ascii="Cambria" w:hAnsi="Cambria"/>
                <w:sz w:val="20"/>
                <w:szCs w:val="20"/>
                <w:lang w:bidi="x-none"/>
              </w:rPr>
              <w:t>-18</w:t>
            </w:r>
          </w:p>
        </w:tc>
        <w:tc>
          <w:tcPr>
            <w:tcW w:w="1166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101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BA3302" w:rsidRPr="00467A99" w14:paraId="651D921F" w14:textId="220403EE" w:rsidTr="00C74D8F">
        <w:tc>
          <w:tcPr>
            <w:tcW w:w="1232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872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101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BA3302" w:rsidRPr="00467A99" w14:paraId="5E4F59EE" w14:textId="13ED95D8" w:rsidTr="00C74D8F">
        <w:tc>
          <w:tcPr>
            <w:tcW w:w="1232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872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629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BA3302" w:rsidRPr="00467A99" w14:paraId="6FF99003" w14:textId="61DDC861" w:rsidTr="00C74D8F">
        <w:tc>
          <w:tcPr>
            <w:tcW w:w="1232" w:type="pct"/>
          </w:tcPr>
          <w:p w14:paraId="393B143C" w14:textId="3B2CE852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872" w:type="pct"/>
          </w:tcPr>
          <w:p w14:paraId="0020AC23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2A841C76" w14:textId="77EAA74A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4A9923A7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145D1652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BA3302" w:rsidRPr="00467A99" w14:paraId="6B071F46" w14:textId="77777777" w:rsidTr="00C74D8F">
        <w:tc>
          <w:tcPr>
            <w:tcW w:w="1232" w:type="pct"/>
          </w:tcPr>
          <w:p w14:paraId="6027FD80" w14:textId="2CBB9C4C" w:rsidR="00B05FFB" w:rsidRPr="00156526" w:rsidRDefault="00724B59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Spring Plenary</w:t>
            </w:r>
            <w:r w:rsidR="001F23CA">
              <w:rPr>
                <w:rFonts w:ascii="Cambria" w:hAnsi="Cambria"/>
                <w:sz w:val="22"/>
                <w:lang w:bidi="x-none"/>
              </w:rPr>
              <w:t xml:space="preserve"> Report</w:t>
            </w:r>
          </w:p>
        </w:tc>
        <w:tc>
          <w:tcPr>
            <w:tcW w:w="872" w:type="pct"/>
          </w:tcPr>
          <w:p w14:paraId="399326A4" w14:textId="146E21DF" w:rsidR="00B05FFB" w:rsidRPr="00CB132E" w:rsidRDefault="00B05FFB" w:rsidP="00724B59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1166" w:type="pct"/>
          </w:tcPr>
          <w:p w14:paraId="7934FF0C" w14:textId="4981C109" w:rsidR="00B05FFB" w:rsidRDefault="00724B59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629" w:type="pct"/>
          </w:tcPr>
          <w:p w14:paraId="0129709D" w14:textId="071D91F3" w:rsidR="00B05FFB" w:rsidRDefault="00BA3302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101" w:type="pct"/>
          </w:tcPr>
          <w:p w14:paraId="2DD1F740" w14:textId="739CEF37" w:rsidR="00B05FFB" w:rsidRPr="00C72A07" w:rsidRDefault="00724B59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Officers to report back from ASCCC Spring Plenary</w:t>
            </w:r>
          </w:p>
        </w:tc>
      </w:tr>
      <w:tr w:rsidR="00BA3302" w:rsidRPr="00467A99" w14:paraId="13B50FA2" w14:textId="13251A90" w:rsidTr="00C74D8F">
        <w:tc>
          <w:tcPr>
            <w:tcW w:w="1232" w:type="pct"/>
          </w:tcPr>
          <w:p w14:paraId="759F98B4" w14:textId="17DFE825" w:rsidR="00B05FFB" w:rsidRDefault="00724B59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Equity Plan 2019-22</w:t>
            </w:r>
          </w:p>
        </w:tc>
        <w:tc>
          <w:tcPr>
            <w:tcW w:w="872" w:type="pct"/>
          </w:tcPr>
          <w:p w14:paraId="35246472" w14:textId="2D959B4F" w:rsidR="00B05FFB" w:rsidRPr="00DB154D" w:rsidRDefault="00724B59" w:rsidP="005E73D8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724B59">
              <w:rPr>
                <w:rFonts w:ascii="Cambria" w:hAnsi="Cambria"/>
                <w:sz w:val="20"/>
                <w:szCs w:val="20"/>
                <w:lang w:bidi="x-none"/>
              </w:rPr>
              <w:t>Equity Plan Presentation (April 2019 v2)</w:t>
            </w:r>
          </w:p>
        </w:tc>
        <w:tc>
          <w:tcPr>
            <w:tcW w:w="1166" w:type="pct"/>
          </w:tcPr>
          <w:p w14:paraId="06B23A83" w14:textId="0C7656E8" w:rsidR="00B05FFB" w:rsidRDefault="005E73D8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Discussion/1</w:t>
            </w:r>
            <w:r w:rsidRPr="005E73D8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629" w:type="pct"/>
          </w:tcPr>
          <w:p w14:paraId="6183ADF2" w14:textId="525E6000" w:rsidR="00B05FFB" w:rsidRDefault="00724B59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Cervantes</w:t>
            </w:r>
          </w:p>
        </w:tc>
        <w:tc>
          <w:tcPr>
            <w:tcW w:w="1101" w:type="pct"/>
          </w:tcPr>
          <w:p w14:paraId="1178D43E" w14:textId="29111B02" w:rsidR="00B05FFB" w:rsidRPr="00C72A07" w:rsidRDefault="00C74D8F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</w:t>
            </w:r>
            <w:r w:rsidR="005E73D8">
              <w:rPr>
                <w:rFonts w:ascii="Cambria" w:hAnsi="Cambria"/>
                <w:sz w:val="20"/>
                <w:lang w:bidi="x-none"/>
              </w:rPr>
              <w:t xml:space="preserve">will </w:t>
            </w:r>
            <w:r w:rsidR="00724B59">
              <w:rPr>
                <w:rFonts w:ascii="Cambria" w:hAnsi="Cambria"/>
                <w:sz w:val="20"/>
                <w:lang w:bidi="x-none"/>
              </w:rPr>
              <w:t>understand the purpose of our Equity Plan, and be able to engage in informed discussion with constituents regarding activities/process/timeline for plan approval</w:t>
            </w:r>
          </w:p>
        </w:tc>
      </w:tr>
      <w:tr w:rsidR="00BA3302" w:rsidRPr="00467A99" w14:paraId="24835BFE" w14:textId="77777777" w:rsidTr="00C74D8F">
        <w:tc>
          <w:tcPr>
            <w:tcW w:w="1232" w:type="pct"/>
          </w:tcPr>
          <w:p w14:paraId="1F840683" w14:textId="669209FD" w:rsidR="00724B59" w:rsidRDefault="00724B59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Vision for Success Goals</w:t>
            </w:r>
          </w:p>
        </w:tc>
        <w:tc>
          <w:tcPr>
            <w:tcW w:w="872" w:type="pct"/>
          </w:tcPr>
          <w:p w14:paraId="26FA8CE2" w14:textId="4ED9CBD9" w:rsidR="00724B59" w:rsidRPr="005E73D8" w:rsidRDefault="00724B59" w:rsidP="005E73D8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724B59">
              <w:rPr>
                <w:rFonts w:ascii="Cambria" w:hAnsi="Cambria"/>
                <w:sz w:val="20"/>
                <w:szCs w:val="20"/>
                <w:lang w:bidi="x-none"/>
              </w:rPr>
              <w:t>VfS_Goals_1_to_5_AcaSenate_v3_04082019</w:t>
            </w:r>
          </w:p>
        </w:tc>
        <w:tc>
          <w:tcPr>
            <w:tcW w:w="1166" w:type="pct"/>
          </w:tcPr>
          <w:p w14:paraId="74FB83E7" w14:textId="61ACA799" w:rsidR="00724B59" w:rsidRDefault="00BA3302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Discussion/2</w:t>
            </w:r>
            <w:r w:rsidRPr="00BA3302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629" w:type="pct"/>
          </w:tcPr>
          <w:p w14:paraId="700031E5" w14:textId="6CCC65E3" w:rsidR="00724B59" w:rsidRDefault="00BA3302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Finkelstein/Escoto</w:t>
            </w:r>
          </w:p>
        </w:tc>
        <w:tc>
          <w:tcPr>
            <w:tcW w:w="1101" w:type="pct"/>
          </w:tcPr>
          <w:p w14:paraId="52871D7E" w14:textId="689F1EED" w:rsidR="00724B59" w:rsidRDefault="00724B59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will understand purpose of VfS goals, and be able to </w:t>
            </w:r>
            <w:r w:rsidR="001F23CA">
              <w:rPr>
                <w:rFonts w:ascii="Cambria" w:hAnsi="Cambria"/>
                <w:sz w:val="20"/>
                <w:lang w:bidi="x-none"/>
              </w:rPr>
              <w:t>engage</w:t>
            </w:r>
            <w:r>
              <w:rPr>
                <w:rFonts w:ascii="Cambria" w:hAnsi="Cambria"/>
                <w:sz w:val="20"/>
                <w:lang w:bidi="x-none"/>
              </w:rPr>
              <w:t xml:space="preserve"> in informed discussion with constituents regarding </w:t>
            </w:r>
            <w:r w:rsidR="001F23CA">
              <w:rPr>
                <w:rFonts w:ascii="Cambria" w:hAnsi="Cambria"/>
                <w:sz w:val="20"/>
                <w:lang w:bidi="x-none"/>
              </w:rPr>
              <w:t>in order to get feedback re: propose goals</w:t>
            </w:r>
          </w:p>
        </w:tc>
      </w:tr>
      <w:tr w:rsidR="00BA3302" w:rsidRPr="00467A99" w14:paraId="097980E5" w14:textId="77777777" w:rsidTr="00C74D8F">
        <w:tc>
          <w:tcPr>
            <w:tcW w:w="1232" w:type="pct"/>
          </w:tcPr>
          <w:p w14:paraId="0B5C6EE5" w14:textId="155296BA" w:rsidR="00724B59" w:rsidRDefault="00724B59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VfS Approval Timeline</w:t>
            </w:r>
          </w:p>
        </w:tc>
        <w:tc>
          <w:tcPr>
            <w:tcW w:w="872" w:type="pct"/>
          </w:tcPr>
          <w:p w14:paraId="7416FD10" w14:textId="77777777" w:rsidR="00724B59" w:rsidRPr="00724B59" w:rsidRDefault="00724B59" w:rsidP="005E73D8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1166" w:type="pct"/>
          </w:tcPr>
          <w:p w14:paraId="30F73FA8" w14:textId="37A694F7" w:rsidR="00724B59" w:rsidRDefault="00BA3302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629" w:type="pct"/>
          </w:tcPr>
          <w:p w14:paraId="1851D8CA" w14:textId="77777777" w:rsidR="00724B59" w:rsidRDefault="00724B59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16F67F2C" w14:textId="3B72588B" w:rsidR="00724B59" w:rsidRDefault="001F23CA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understand VfS Goals approval timeline</w:t>
            </w:r>
          </w:p>
        </w:tc>
      </w:tr>
      <w:tr w:rsidR="00BA3302" w:rsidRPr="00467A99" w14:paraId="72D224CD" w14:textId="24674420" w:rsidTr="00C74D8F">
        <w:tc>
          <w:tcPr>
            <w:tcW w:w="1232" w:type="pct"/>
          </w:tcPr>
          <w:p w14:paraId="7AF05215" w14:textId="488C0461" w:rsidR="00B05FFB" w:rsidRPr="00BD220D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 xml:space="preserve">Committee reports: </w:t>
            </w:r>
          </w:p>
        </w:tc>
        <w:tc>
          <w:tcPr>
            <w:tcW w:w="872" w:type="pct"/>
          </w:tcPr>
          <w:p w14:paraId="770BBD09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7089FA9F" w14:textId="3AA2569F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29" w:type="pct"/>
          </w:tcPr>
          <w:p w14:paraId="2AE3737C" w14:textId="19542BB1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101" w:type="pct"/>
          </w:tcPr>
          <w:p w14:paraId="28AD3BDE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BA3302" w:rsidRPr="00467A99" w14:paraId="4F2000AA" w14:textId="18DE8EFD" w:rsidTr="00C74D8F">
        <w:tc>
          <w:tcPr>
            <w:tcW w:w="1232" w:type="pct"/>
          </w:tcPr>
          <w:p w14:paraId="0818F7CB" w14:textId="3D62F124" w:rsidR="00B05FFB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214010AF" w14:textId="77777777" w:rsidR="00682D68" w:rsidRDefault="00682D68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051D5F4A" w14:textId="6C5E2B3B" w:rsidR="007048D0" w:rsidRPr="001C3429" w:rsidRDefault="00724B59" w:rsidP="001C3429">
            <w:pPr>
              <w:pStyle w:val="ListParagraph"/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Spring Elections</w:t>
            </w:r>
          </w:p>
          <w:p w14:paraId="47202281" w14:textId="70DB0355" w:rsidR="00B05FFB" w:rsidRPr="009E5D82" w:rsidRDefault="00B05FFB" w:rsidP="008E4E17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72" w:type="pct"/>
          </w:tcPr>
          <w:p w14:paraId="11E15F3F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28B98E6" w14:textId="77777777" w:rsidR="00B05FFB" w:rsidRPr="0079183D" w:rsidRDefault="00B05FFB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1166" w:type="pct"/>
          </w:tcPr>
          <w:p w14:paraId="36D89225" w14:textId="185FE973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29" w:type="pct"/>
          </w:tcPr>
          <w:p w14:paraId="0BB8E46E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101" w:type="pct"/>
          </w:tcPr>
          <w:p w14:paraId="2D20437F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BA3302" w:rsidRPr="00467A99" w14:paraId="6FDDB84D" w14:textId="49CA32D5" w:rsidTr="00C74D8F">
        <w:tc>
          <w:tcPr>
            <w:tcW w:w="1232" w:type="pct"/>
          </w:tcPr>
          <w:p w14:paraId="19C65626" w14:textId="77777777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872" w:type="pct"/>
          </w:tcPr>
          <w:p w14:paraId="286C9622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68E3A1DB" w14:textId="30758B45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4B9A0C7B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6D0CEB18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1357B6A8" w14:textId="06C1EA9C" w:rsidR="003809C5" w:rsidRDefault="00D6214A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ASdraftminutes4.8</w:t>
      </w:r>
      <w:r w:rsidR="001C3B30">
        <w:rPr>
          <w:rFonts w:ascii="Cambria" w:hAnsi="Cambria"/>
          <w:sz w:val="22"/>
          <w:lang w:bidi="x-none"/>
        </w:rPr>
        <w:t>.19</w:t>
      </w:r>
    </w:p>
    <w:p w14:paraId="22B83CEA" w14:textId="1105AD69" w:rsidR="00C24D4C" w:rsidRPr="00C24D4C" w:rsidRDefault="00C24D4C" w:rsidP="00D14B24">
      <w:pPr>
        <w:tabs>
          <w:tab w:val="left" w:pos="360"/>
        </w:tabs>
        <w:rPr>
          <w:rFonts w:ascii="Cambria" w:hAnsi="Cambria"/>
          <w:sz w:val="22"/>
          <w:szCs w:val="22"/>
          <w:lang w:bidi="x-none"/>
        </w:rPr>
      </w:pPr>
      <w:r w:rsidRPr="00C24D4C">
        <w:rPr>
          <w:rFonts w:ascii="Cambria" w:hAnsi="Cambria"/>
          <w:sz w:val="22"/>
          <w:szCs w:val="22"/>
          <w:lang w:bidi="x-none"/>
        </w:rPr>
        <w:t>Resolutions Packet S19 Thursday 4.1.19</w:t>
      </w:r>
    </w:p>
    <w:p w14:paraId="4F535270" w14:textId="77777777" w:rsidR="005E73D8" w:rsidRDefault="005E73D8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5E73D8">
        <w:rPr>
          <w:rFonts w:ascii="Cambria" w:hAnsi="Cambria"/>
          <w:sz w:val="22"/>
          <w:lang w:bidi="x-none"/>
        </w:rPr>
        <w:t>VfS_Goals_1_to_4_AcaSenate</w:t>
      </w:r>
    </w:p>
    <w:p w14:paraId="282C84E1" w14:textId="77777777" w:rsidR="00B33FB6" w:rsidRDefault="00B33FB6" w:rsidP="00D14B24">
      <w:pPr>
        <w:tabs>
          <w:tab w:val="left" w:pos="360"/>
        </w:tabs>
        <w:rPr>
          <w:rFonts w:ascii="Cambria" w:hAnsi="Cambria"/>
          <w:sz w:val="22"/>
          <w:szCs w:val="22"/>
          <w:lang w:bidi="x-none"/>
        </w:rPr>
      </w:pPr>
    </w:p>
    <w:p w14:paraId="448C5EBC" w14:textId="77777777" w:rsidR="00D038DD" w:rsidRDefault="00D038D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4177F284" w14:textId="77777777" w:rsidR="008E4E17" w:rsidRPr="008E4E17" w:rsidRDefault="008E4E17" w:rsidP="008E4E17">
      <w:pPr>
        <w:rPr>
          <w:rFonts w:ascii="Cambria" w:hAnsi="Cambria"/>
          <w:sz w:val="22"/>
          <w:szCs w:val="22"/>
        </w:rPr>
      </w:pPr>
    </w:p>
    <w:p w14:paraId="319F9310" w14:textId="2B20C939" w:rsidR="008E4E17" w:rsidRPr="008E4E17" w:rsidRDefault="008E4E17" w:rsidP="008E4E17">
      <w:pPr>
        <w:rPr>
          <w:rFonts w:ascii="Cambria" w:hAnsi="Cambria"/>
          <w:sz w:val="22"/>
          <w:szCs w:val="22"/>
        </w:rPr>
      </w:pPr>
    </w:p>
    <w:p w14:paraId="4C07965D" w14:textId="77777777" w:rsidR="00B5313E" w:rsidRPr="003F7725" w:rsidRDefault="00B5313E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335C5AD9" w14:textId="2E79E3CF" w:rsidR="00CE4F61" w:rsidRDefault="00CE4F61" w:rsidP="00CE4F61">
      <w:pPr>
        <w:rPr>
          <w:rFonts w:asciiTheme="minorHAnsi" w:hAnsiTheme="minorHAnsi"/>
          <w:sz w:val="22"/>
          <w:szCs w:val="22"/>
        </w:rPr>
      </w:pPr>
      <w:bookmarkStart w:id="0" w:name="TenPlusOneList"/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 w:rsidR="00B33FB6">
        <w:rPr>
          <w:rFonts w:asciiTheme="minorHAnsi" w:hAnsiTheme="minorHAnsi"/>
          <w:sz w:val="22"/>
          <w:szCs w:val="22"/>
        </w:rPr>
        <w:t>1 faculty rep</w:t>
      </w:r>
      <w:r w:rsidR="007B1CAD">
        <w:rPr>
          <w:rFonts w:asciiTheme="minorHAnsi" w:hAnsiTheme="minorHAnsi"/>
          <w:sz w:val="22"/>
          <w:szCs w:val="22"/>
        </w:rPr>
        <w:t xml:space="preserve">. </w:t>
      </w:r>
    </w:p>
    <w:p w14:paraId="45D91F37" w14:textId="019ACFC1" w:rsidR="00CF13CF" w:rsidRDefault="008E4E17" w:rsidP="00CE4F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District Budget Advisory Committee</w:t>
      </w:r>
    </w:p>
    <w:p w14:paraId="1EDFB7B2" w14:textId="78047E9A" w:rsidR="007B1CAD" w:rsidRDefault="007B1CAD" w:rsidP="00CE4F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0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505CE7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>joint mtg with DA</w:t>
            </w:r>
          </w:p>
          <w:p w14:paraId="3BB2A3FB" w14:textId="5BBD4561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1EAEF7F0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426EF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26</w:t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/16</w:t>
            </w:r>
          </w:p>
          <w:p w14:paraId="4F49B00C" w14:textId="0EB3034C" w:rsidR="007F04DE" w:rsidRPr="003F7725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F7725">
              <w:rPr>
                <w:rFonts w:ascii="Cambria" w:eastAsia="Cambria" w:hAnsi="Cambria" w:cs="Cambria"/>
                <w:strike/>
                <w:sz w:val="21"/>
                <w:szCs w:val="22"/>
              </w:rPr>
              <w:t>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30424E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7F04DE"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/14/19</w:t>
            </w:r>
          </w:p>
          <w:p w14:paraId="120FC8A3" w14:textId="659B2685" w:rsidR="006419B0" w:rsidRPr="0030424E" w:rsidRDefault="007F04DE" w:rsidP="00B3184B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1/28/19</w:t>
            </w:r>
          </w:p>
          <w:p w14:paraId="60342482" w14:textId="4B696B8A" w:rsidR="00AA59E3" w:rsidRPr="00A94459" w:rsidRDefault="00AA59E3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94459">
              <w:rPr>
                <w:rFonts w:ascii="Cambria" w:eastAsia="Cambria" w:hAnsi="Cambria" w:cs="Cambria"/>
                <w:strike/>
                <w:sz w:val="21"/>
                <w:szCs w:val="22"/>
              </w:rPr>
              <w:t>2/4/19</w:t>
            </w:r>
          </w:p>
          <w:p w14:paraId="0290C732" w14:textId="1CC49623" w:rsidR="006419B0" w:rsidRPr="002A16A7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7F04DE"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11/19</w:t>
            </w:r>
          </w:p>
          <w:p w14:paraId="07368290" w14:textId="40E16AD8" w:rsidR="006419B0" w:rsidRPr="00D038DD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2/2</w:t>
            </w:r>
            <w:r w:rsidR="007F04DE"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5/19</w:t>
            </w:r>
          </w:p>
          <w:p w14:paraId="513B8709" w14:textId="5A8C9C54" w:rsidR="006419B0" w:rsidRPr="008E4E17" w:rsidRDefault="007F04DE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8E4E17">
              <w:rPr>
                <w:rFonts w:ascii="Cambria" w:eastAsia="Cambria" w:hAnsi="Cambria" w:cs="Cambria"/>
                <w:strike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49897264" w:rsidR="006419B0" w:rsidRPr="00D6214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>4/8</w:t>
            </w:r>
            <w:r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C41DCB"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72BF9E22" w14:textId="6A59500D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3F5B3A94" w:rsidR="006419B0" w:rsidRPr="001A595A" w:rsidRDefault="008E4E17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1EE1C8E3" w14:textId="3FE3E419" w:rsidR="00AA59E3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127F4D86" w14:textId="74C9460D" w:rsidR="00AA59E3" w:rsidRDefault="00BA330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6" w:history="1">
        <w:r w:rsidR="00AA59E3" w:rsidRPr="00AA59E3">
          <w:rPr>
            <w:rStyle w:val="Hyperlink"/>
            <w:rFonts w:ascii="Cambria" w:hAnsi="Cambria"/>
            <w:sz w:val="22"/>
          </w:rPr>
          <w:t>Career and Noncredit Institute</w:t>
        </w:r>
      </w:hyperlink>
      <w:r w:rsidR="00AA59E3">
        <w:rPr>
          <w:rFonts w:ascii="Cambria" w:hAnsi="Cambria"/>
          <w:sz w:val="22"/>
        </w:rPr>
        <w:t>, April 25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-27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 xml:space="preserve"> 2019, Double Tree by Hilton San Diego Mission Valley</w:t>
      </w:r>
    </w:p>
    <w:p w14:paraId="68915FF3" w14:textId="2C9EB936" w:rsidR="00AA59E3" w:rsidRDefault="00BA330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AA59E3" w:rsidRPr="00AA59E3">
          <w:rPr>
            <w:rStyle w:val="Hyperlink"/>
            <w:rFonts w:ascii="Cambria" w:hAnsi="Cambria"/>
            <w:sz w:val="22"/>
          </w:rPr>
          <w:t>2019 Faculty Leadership Institute</w:t>
        </w:r>
      </w:hyperlink>
      <w:r w:rsidR="00AA59E3">
        <w:rPr>
          <w:rFonts w:ascii="Cambria" w:hAnsi="Cambria"/>
          <w:sz w:val="22"/>
        </w:rPr>
        <w:t>, June 13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-15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 xml:space="preserve"> 2019, Sheraton Grand Sacramento Hotel</w:t>
      </w:r>
    </w:p>
    <w:p w14:paraId="2C1AD79A" w14:textId="77777777" w:rsidR="00AA59E3" w:rsidRPr="00467A99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522C48C8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>Isaac Escoto</w:t>
      </w:r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>, Ben Armerding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Schaefers (AS Secretary 19’), </w:t>
      </w:r>
      <w:r>
        <w:rPr>
          <w:rFonts w:asciiTheme="minorHAnsi" w:hAnsiTheme="minorHAnsi" w:cs="Times"/>
        </w:rPr>
        <w:t>Tracee Cunningham (Cnsl), Voltaire Villanueva (Cnsl),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>aela Agyare (Library), Amber La Piana (LA), David McCormick (LA), Hilary Gomes (FA/Comm), Jordan Fong (FA/Comm),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>,</w:t>
      </w:r>
      <w:r w:rsidR="00295105">
        <w:rPr>
          <w:rFonts w:ascii="Cambria" w:hAnsi="Cambria"/>
        </w:rPr>
        <w:t xml:space="preserve"> Mary Ann</w:t>
      </w:r>
      <w:r w:rsidR="00364C47">
        <w:rPr>
          <w:rFonts w:ascii="Cambria" w:hAnsi="Cambria"/>
        </w:rPr>
        <w:t>e</w:t>
      </w:r>
      <w:r w:rsidR="00295105">
        <w:rPr>
          <w:rFonts w:ascii="Cambria" w:hAnsi="Cambria"/>
        </w:rPr>
        <w:t xml:space="preserve"> Sunseri</w:t>
      </w:r>
      <w:r w:rsidR="00364C47">
        <w:rPr>
          <w:rFonts w:ascii="Cambria" w:hAnsi="Cambria"/>
        </w:rPr>
        <w:t>(19’),</w:t>
      </w:r>
      <w:r w:rsidR="009732A5">
        <w:rPr>
          <w:rFonts w:ascii="Cambria" w:hAnsi="Cambria"/>
        </w:rPr>
        <w:t xml:space="preserve"> </w:t>
      </w:r>
      <w:r w:rsidR="00BA3302">
        <w:rPr>
          <w:rFonts w:asciiTheme="minorHAnsi" w:hAnsiTheme="minorHAnsi" w:cs="Times"/>
        </w:rPr>
        <w:t>Matthew Litrus</w:t>
      </w:r>
      <w:bookmarkStart w:id="1" w:name="_GoBack"/>
      <w:bookmarkEnd w:id="1"/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>David Marasco (</w:t>
      </w:r>
      <w:r w:rsidR="00DF0376">
        <w:rPr>
          <w:rFonts w:asciiTheme="minorHAnsi" w:hAnsiTheme="minorHAnsi" w:cs="Times"/>
        </w:rPr>
        <w:t>PSME), Sara Cooper (BHS/FA Rep)</w:t>
      </w:r>
      <w:r w:rsidR="00811124">
        <w:rPr>
          <w:rFonts w:asciiTheme="minorHAnsi" w:hAnsiTheme="minorHAnsi" w:cs="Times"/>
        </w:rPr>
        <w:t>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</w:t>
      </w:r>
      <w:r w:rsidR="00FD61A6">
        <w:rPr>
          <w:rFonts w:asciiTheme="minorHAnsi" w:hAnsiTheme="minorHAnsi" w:cs="Times"/>
        </w:rPr>
        <w:t>Don Mac Neil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Mimi Overton (SRC), Carolyn Holcroft (</w:t>
      </w:r>
      <w:r w:rsidR="006937F7">
        <w:rPr>
          <w:rFonts w:asciiTheme="minorHAnsi" w:hAnsiTheme="minorHAnsi" w:cs="Times"/>
        </w:rPr>
        <w:t>Professional Development), Kristy Lisle (Admin rep),</w:t>
      </w:r>
      <w:r w:rsidR="004B3B14">
        <w:rPr>
          <w:rFonts w:asciiTheme="minorHAnsi" w:hAnsiTheme="minorHAnsi" w:cs="Times"/>
        </w:rPr>
        <w:t xml:space="preserve"> Chelsey</w:t>
      </w:r>
      <w:r w:rsidR="00FD61A6">
        <w:rPr>
          <w:rFonts w:asciiTheme="minorHAnsi" w:hAnsiTheme="minorHAnsi" w:cs="Times"/>
        </w:rPr>
        <w:t xml:space="preserve"> Nguyen (ASFC President</w:t>
      </w:r>
      <w:r w:rsidR="00E97C26">
        <w:rPr>
          <w:rFonts w:asciiTheme="minorHAnsi" w:hAnsiTheme="minorHAnsi" w:cs="Times"/>
        </w:rPr>
        <w:t>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 Roman"/>
    <w:panose1 w:val="00000000000000000000"/>
    <w:charset w:val="00"/>
    <w:family w:val="auto"/>
    <w:notTrueType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077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6F03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1374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00A8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250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2B89"/>
    <w:rsid w:val="001A344F"/>
    <w:rsid w:val="001A391A"/>
    <w:rsid w:val="001A4441"/>
    <w:rsid w:val="001A55AA"/>
    <w:rsid w:val="001A73DE"/>
    <w:rsid w:val="001A7BC8"/>
    <w:rsid w:val="001A7CEC"/>
    <w:rsid w:val="001B0123"/>
    <w:rsid w:val="001B1A7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3429"/>
    <w:rsid w:val="001C3B30"/>
    <w:rsid w:val="001C4F4E"/>
    <w:rsid w:val="001C5B27"/>
    <w:rsid w:val="001C5DA3"/>
    <w:rsid w:val="001C6BCF"/>
    <w:rsid w:val="001C7AE4"/>
    <w:rsid w:val="001D0277"/>
    <w:rsid w:val="001D337F"/>
    <w:rsid w:val="001D423F"/>
    <w:rsid w:val="001D4C03"/>
    <w:rsid w:val="001D4C66"/>
    <w:rsid w:val="001D5390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DB"/>
    <w:rsid w:val="001F1CF1"/>
    <w:rsid w:val="001F23CA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1A9"/>
    <w:rsid w:val="002415AD"/>
    <w:rsid w:val="0024280A"/>
    <w:rsid w:val="00250248"/>
    <w:rsid w:val="00250C5F"/>
    <w:rsid w:val="002510F6"/>
    <w:rsid w:val="002534F3"/>
    <w:rsid w:val="00253F35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3804"/>
    <w:rsid w:val="00295105"/>
    <w:rsid w:val="0029521D"/>
    <w:rsid w:val="002957C4"/>
    <w:rsid w:val="00295AC6"/>
    <w:rsid w:val="0029670B"/>
    <w:rsid w:val="00296D8A"/>
    <w:rsid w:val="0029746F"/>
    <w:rsid w:val="002A098A"/>
    <w:rsid w:val="002A16A7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5DCB"/>
    <w:rsid w:val="002F69C0"/>
    <w:rsid w:val="002F6BAA"/>
    <w:rsid w:val="003008FD"/>
    <w:rsid w:val="00301B3B"/>
    <w:rsid w:val="0030424E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36D40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322D"/>
    <w:rsid w:val="003649B3"/>
    <w:rsid w:val="00364C47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09C5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725"/>
    <w:rsid w:val="003F7EFA"/>
    <w:rsid w:val="00400B25"/>
    <w:rsid w:val="004079EF"/>
    <w:rsid w:val="00411869"/>
    <w:rsid w:val="00411DA6"/>
    <w:rsid w:val="0041494A"/>
    <w:rsid w:val="0041742F"/>
    <w:rsid w:val="0042096A"/>
    <w:rsid w:val="0042230D"/>
    <w:rsid w:val="004224E5"/>
    <w:rsid w:val="00422615"/>
    <w:rsid w:val="00426EFE"/>
    <w:rsid w:val="00427A9F"/>
    <w:rsid w:val="00431AA8"/>
    <w:rsid w:val="00431D7F"/>
    <w:rsid w:val="00432377"/>
    <w:rsid w:val="0043435F"/>
    <w:rsid w:val="00436223"/>
    <w:rsid w:val="00436824"/>
    <w:rsid w:val="00436FB3"/>
    <w:rsid w:val="00437AFE"/>
    <w:rsid w:val="00441424"/>
    <w:rsid w:val="0044360F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4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3B14"/>
    <w:rsid w:val="004B460B"/>
    <w:rsid w:val="004B52BB"/>
    <w:rsid w:val="004B6AF7"/>
    <w:rsid w:val="004B6B8F"/>
    <w:rsid w:val="004C0939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41B2"/>
    <w:rsid w:val="004F6D26"/>
    <w:rsid w:val="004F7218"/>
    <w:rsid w:val="004F7EBA"/>
    <w:rsid w:val="00501554"/>
    <w:rsid w:val="00501A4B"/>
    <w:rsid w:val="00504BB2"/>
    <w:rsid w:val="00504F4B"/>
    <w:rsid w:val="00505ACB"/>
    <w:rsid w:val="00505CE7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C28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3CC8"/>
    <w:rsid w:val="005445FB"/>
    <w:rsid w:val="005452CF"/>
    <w:rsid w:val="00545319"/>
    <w:rsid w:val="00545C4C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6C23"/>
    <w:rsid w:val="005E7342"/>
    <w:rsid w:val="005E73D8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997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5022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2D68"/>
    <w:rsid w:val="006830D1"/>
    <w:rsid w:val="006837D5"/>
    <w:rsid w:val="006872DF"/>
    <w:rsid w:val="006904C0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0DDD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2F05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8D0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4B59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5D53"/>
    <w:rsid w:val="00776612"/>
    <w:rsid w:val="00776A07"/>
    <w:rsid w:val="007775A0"/>
    <w:rsid w:val="00777B69"/>
    <w:rsid w:val="00780DC2"/>
    <w:rsid w:val="00785517"/>
    <w:rsid w:val="0078798E"/>
    <w:rsid w:val="007909E0"/>
    <w:rsid w:val="0079183D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0888"/>
    <w:rsid w:val="007B0E48"/>
    <w:rsid w:val="007B1787"/>
    <w:rsid w:val="007B1CAD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54F0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186F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E4E17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29FF"/>
    <w:rsid w:val="0096350C"/>
    <w:rsid w:val="0096443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1B13"/>
    <w:rsid w:val="00A643DE"/>
    <w:rsid w:val="00A650C2"/>
    <w:rsid w:val="00A65428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459"/>
    <w:rsid w:val="00A9470F"/>
    <w:rsid w:val="00A96F57"/>
    <w:rsid w:val="00AA2115"/>
    <w:rsid w:val="00AA37FA"/>
    <w:rsid w:val="00AA4D9F"/>
    <w:rsid w:val="00AA58CE"/>
    <w:rsid w:val="00AA59E3"/>
    <w:rsid w:val="00AA5E94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592F"/>
    <w:rsid w:val="00AE6A30"/>
    <w:rsid w:val="00AE7403"/>
    <w:rsid w:val="00AF2A73"/>
    <w:rsid w:val="00AF5CB5"/>
    <w:rsid w:val="00AF79E9"/>
    <w:rsid w:val="00B00C29"/>
    <w:rsid w:val="00B00C72"/>
    <w:rsid w:val="00B01104"/>
    <w:rsid w:val="00B03176"/>
    <w:rsid w:val="00B0489B"/>
    <w:rsid w:val="00B04CC2"/>
    <w:rsid w:val="00B05FFB"/>
    <w:rsid w:val="00B07416"/>
    <w:rsid w:val="00B135B7"/>
    <w:rsid w:val="00B14790"/>
    <w:rsid w:val="00B156A7"/>
    <w:rsid w:val="00B16791"/>
    <w:rsid w:val="00B167E3"/>
    <w:rsid w:val="00B17D3F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3FB6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313E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87FB4"/>
    <w:rsid w:val="00B910E9"/>
    <w:rsid w:val="00B91B43"/>
    <w:rsid w:val="00B92E8C"/>
    <w:rsid w:val="00B942A8"/>
    <w:rsid w:val="00B978CE"/>
    <w:rsid w:val="00BA0B8D"/>
    <w:rsid w:val="00BA2A9D"/>
    <w:rsid w:val="00BA3302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220D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050E7"/>
    <w:rsid w:val="00C12B99"/>
    <w:rsid w:val="00C137BF"/>
    <w:rsid w:val="00C13F33"/>
    <w:rsid w:val="00C21E5B"/>
    <w:rsid w:val="00C233A4"/>
    <w:rsid w:val="00C237DC"/>
    <w:rsid w:val="00C24D4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45E1"/>
    <w:rsid w:val="00C74D8F"/>
    <w:rsid w:val="00C777BD"/>
    <w:rsid w:val="00C77AF6"/>
    <w:rsid w:val="00C77F9E"/>
    <w:rsid w:val="00C8113B"/>
    <w:rsid w:val="00C82F49"/>
    <w:rsid w:val="00C83346"/>
    <w:rsid w:val="00C84193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132E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0D2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3CF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8DD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14A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54D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D7709"/>
    <w:rsid w:val="00DE038F"/>
    <w:rsid w:val="00DE5D60"/>
    <w:rsid w:val="00DE6DBA"/>
    <w:rsid w:val="00DE7667"/>
    <w:rsid w:val="00DF0376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0FAA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2093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762DD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4B36"/>
    <w:rsid w:val="00F96309"/>
    <w:rsid w:val="00FA0A17"/>
    <w:rsid w:val="00FA1838"/>
    <w:rsid w:val="00FA1DFF"/>
    <w:rsid w:val="00FA1E34"/>
    <w:rsid w:val="00FA3204"/>
    <w:rsid w:val="00FA5074"/>
    <w:rsid w:val="00FA544C"/>
    <w:rsid w:val="00FA6033"/>
    <w:rsid w:val="00FB1821"/>
    <w:rsid w:val="00FB3968"/>
    <w:rsid w:val="00FB3B05"/>
    <w:rsid w:val="00FB3B50"/>
    <w:rsid w:val="00FB6CC9"/>
    <w:rsid w:val="00FB77AD"/>
    <w:rsid w:val="00FC2C14"/>
    <w:rsid w:val="00FC2C1B"/>
    <w:rsid w:val="00FC48D5"/>
    <w:rsid w:val="00FD22ED"/>
    <w:rsid w:val="00FD27FB"/>
    <w:rsid w:val="00FD61A6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83D"/>
    <w:rPr>
      <w:sz w:val="24"/>
      <w:szCs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eastAsia="Times" w:hAnsi="Comic Sans MS"/>
      <w:b/>
      <w:szCs w:val="20"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eastAsia="Times" w:hAnsi="Comic Sans MS"/>
      <w:b/>
      <w:szCs w:val="20"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eastAsia="Times" w:hAnsi="Comic Sans MS"/>
      <w:sz w:val="20"/>
      <w:szCs w:val="20"/>
    </w:rPr>
  </w:style>
  <w:style w:type="character" w:styleId="Hyperlink">
    <w:name w:val="Hyperlink"/>
    <w:uiPriority w:val="99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ascii="Times" w:eastAsia="MS Mincho" w:hAnsi="Times"/>
      <w:b/>
      <w:sz w:val="20"/>
      <w:szCs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  <w:rPr>
      <w:rFonts w:ascii="Times" w:eastAsia="Times" w:hAnsi="Times"/>
      <w:szCs w:val="20"/>
    </w:r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ccc.org/events/2019-06-13-180000-2019-06-15-190000/2019-faculty-leadership-institu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cc.org/events/2019-04-25-180000-2019-04-27-190000/2019-career-and-noncredit-institute" TargetMode="Externa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4394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3</cp:revision>
  <cp:lastPrinted>2019-04-08T20:38:00Z</cp:lastPrinted>
  <dcterms:created xsi:type="dcterms:W3CDTF">2019-04-12T04:03:00Z</dcterms:created>
  <dcterms:modified xsi:type="dcterms:W3CDTF">2019-04-12T04:31:00Z</dcterms:modified>
  <cp:category/>
</cp:coreProperties>
</file>