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7C5D3750" w:rsidR="00844ADA" w:rsidRPr="00467A99" w:rsidRDefault="00FC2C14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February</w:t>
      </w:r>
      <w:r w:rsidR="002A16A7">
        <w:rPr>
          <w:rFonts w:ascii="Cambria" w:hAnsi="Cambria"/>
          <w:sz w:val="22"/>
        </w:rPr>
        <w:t xml:space="preserve"> 25</w:t>
      </w:r>
      <w:r w:rsidR="0079183D">
        <w:rPr>
          <w:rFonts w:ascii="Cambria" w:hAnsi="Cambria"/>
          <w:sz w:val="22"/>
        </w:rPr>
        <w:t>th</w:t>
      </w:r>
      <w:r w:rsidR="00FA6033">
        <w:rPr>
          <w:rFonts w:ascii="Cambria" w:hAnsi="Cambria"/>
          <w:sz w:val="22"/>
        </w:rPr>
        <w:t xml:space="preserve"> 2019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844ADA" w:rsidRPr="00467A99">
        <w:rPr>
          <w:rFonts w:ascii="Cambria" w:hAnsi="Cambria"/>
          <w:sz w:val="22"/>
        </w:rPr>
        <w:t>Toyon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0"/>
        <w:gridCol w:w="1702"/>
        <w:gridCol w:w="1776"/>
        <w:gridCol w:w="1280"/>
        <w:gridCol w:w="2148"/>
      </w:tblGrid>
      <w:tr w:rsidR="0079183D" w:rsidRPr="00467A99" w14:paraId="0BE18DC1" w14:textId="6D2B53DF" w:rsidTr="001D423F">
        <w:tc>
          <w:tcPr>
            <w:tcW w:w="1521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857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895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45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082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79183D" w:rsidRPr="00467A99" w14:paraId="14C390FA" w14:textId="7DCBE8FC" w:rsidTr="001D423F">
        <w:tc>
          <w:tcPr>
            <w:tcW w:w="1521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857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45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082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2BB6181" w14:textId="6C0A80A3" w:rsidTr="001D423F">
        <w:tc>
          <w:tcPr>
            <w:tcW w:w="1521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857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45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</w:p>
        </w:tc>
        <w:tc>
          <w:tcPr>
            <w:tcW w:w="1082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EF3600" w14:textId="77777777" w:rsidTr="001D423F">
        <w:tc>
          <w:tcPr>
            <w:tcW w:w="1521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857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45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82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2E681B68" w14:textId="77777777" w:rsidTr="001D423F">
        <w:tc>
          <w:tcPr>
            <w:tcW w:w="1521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857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45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82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79183D" w:rsidRPr="00467A99" w14:paraId="638288B1" w14:textId="179CB67C" w:rsidTr="001D423F">
        <w:tc>
          <w:tcPr>
            <w:tcW w:w="1521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857" w:type="pct"/>
          </w:tcPr>
          <w:p w14:paraId="23593C05" w14:textId="018F8981" w:rsidR="00CE4F61" w:rsidRPr="009629FF" w:rsidRDefault="002A16A7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>
              <w:rPr>
                <w:rFonts w:ascii="Cambria" w:hAnsi="Cambria"/>
                <w:sz w:val="20"/>
                <w:szCs w:val="20"/>
                <w:lang w:bidi="x-none"/>
              </w:rPr>
              <w:t>ASdraftminutes2-11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895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45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82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51D921F" w14:textId="220403EE" w:rsidTr="001D423F">
        <w:tc>
          <w:tcPr>
            <w:tcW w:w="1521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857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45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082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E4F59EE" w14:textId="13ED95D8" w:rsidTr="001D423F">
        <w:tc>
          <w:tcPr>
            <w:tcW w:w="1521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857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645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82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7CDD243E" w14:textId="77777777" w:rsidTr="001D423F">
        <w:tc>
          <w:tcPr>
            <w:tcW w:w="1521" w:type="pct"/>
          </w:tcPr>
          <w:p w14:paraId="3A8476E8" w14:textId="5F52A1A2" w:rsidR="00F267F3" w:rsidRDefault="00F267F3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a.    </w:t>
            </w:r>
            <w:r w:rsidR="006A0DDD">
              <w:rPr>
                <w:rFonts w:ascii="Cambria" w:hAnsi="Cambria"/>
                <w:sz w:val="22"/>
                <w:lang w:bidi="x-none"/>
              </w:rPr>
              <w:t xml:space="preserve">Part Time Faculty </w:t>
            </w:r>
            <w:r w:rsidR="00B05FFB">
              <w:rPr>
                <w:rFonts w:ascii="Cambria" w:hAnsi="Cambria"/>
                <w:sz w:val="22"/>
                <w:lang w:bidi="x-none"/>
              </w:rPr>
              <w:t>Sub Committee</w:t>
            </w:r>
          </w:p>
        </w:tc>
        <w:tc>
          <w:tcPr>
            <w:tcW w:w="857" w:type="pct"/>
          </w:tcPr>
          <w:p w14:paraId="06D26B1E" w14:textId="694491A2" w:rsidR="00F267F3" w:rsidRPr="00C77AF6" w:rsidRDefault="00C77AF6" w:rsidP="006A0DDD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C77AF6">
              <w:rPr>
                <w:rFonts w:ascii="Cambria" w:hAnsi="Cambria"/>
                <w:sz w:val="20"/>
                <w:szCs w:val="20"/>
                <w:lang w:bidi="x-none"/>
              </w:rPr>
              <w:t>PT Subcommittee</w:t>
            </w:r>
          </w:p>
        </w:tc>
        <w:tc>
          <w:tcPr>
            <w:tcW w:w="895" w:type="pct"/>
          </w:tcPr>
          <w:p w14:paraId="5164004A" w14:textId="32C5E49A" w:rsidR="00F267F3" w:rsidRDefault="00B05FFB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B05FFB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Read/Discussion</w:t>
            </w:r>
          </w:p>
        </w:tc>
        <w:tc>
          <w:tcPr>
            <w:tcW w:w="645" w:type="pct"/>
          </w:tcPr>
          <w:p w14:paraId="046BFF09" w14:textId="5C5CAD3F" w:rsidR="00F267F3" w:rsidRDefault="00B05FFB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Schaefers</w:t>
            </w:r>
          </w:p>
        </w:tc>
        <w:tc>
          <w:tcPr>
            <w:tcW w:w="1082" w:type="pct"/>
          </w:tcPr>
          <w:p w14:paraId="3E23C22E" w14:textId="6919367A" w:rsidR="00F267F3" w:rsidRPr="00C72A07" w:rsidRDefault="00B05FFB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discuss the proposed part time faculty </w:t>
            </w:r>
            <w:r w:rsidR="001D423F">
              <w:rPr>
                <w:rFonts w:ascii="Cambria" w:hAnsi="Cambria"/>
                <w:sz w:val="20"/>
                <w:lang w:bidi="x-none"/>
              </w:rPr>
              <w:t>subcommittee</w:t>
            </w:r>
            <w:r>
              <w:rPr>
                <w:rFonts w:ascii="Cambria" w:hAnsi="Cambria"/>
                <w:sz w:val="20"/>
                <w:lang w:bidi="x-none"/>
              </w:rPr>
              <w:t>.</w:t>
            </w:r>
          </w:p>
        </w:tc>
      </w:tr>
      <w:tr w:rsidR="00B05FFB" w:rsidRPr="00467A99" w14:paraId="59F122FF" w14:textId="77777777" w:rsidTr="001D423F">
        <w:tc>
          <w:tcPr>
            <w:tcW w:w="1521" w:type="pct"/>
          </w:tcPr>
          <w:p w14:paraId="4FC3FBB0" w14:textId="12D8708C" w:rsidR="00B05FFB" w:rsidRDefault="00B05FFB" w:rsidP="00B05FFB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b.    Task Force for Online Course Standards</w:t>
            </w:r>
          </w:p>
        </w:tc>
        <w:tc>
          <w:tcPr>
            <w:tcW w:w="857" w:type="pct"/>
          </w:tcPr>
          <w:p w14:paraId="2C9B67BB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60E72DC6" w14:textId="7F2F4B5E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Info/Discussion</w:t>
            </w:r>
          </w:p>
        </w:tc>
        <w:tc>
          <w:tcPr>
            <w:tcW w:w="645" w:type="pct"/>
          </w:tcPr>
          <w:p w14:paraId="1FD3F1A7" w14:textId="31CCC897" w:rsidR="00B05FFB" w:rsidRDefault="00682D68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Stefonik</w:t>
            </w:r>
          </w:p>
        </w:tc>
        <w:tc>
          <w:tcPr>
            <w:tcW w:w="1082" w:type="pct"/>
          </w:tcPr>
          <w:p w14:paraId="20EA5CA6" w14:textId="6EBB34A6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Discussion </w:t>
            </w:r>
            <w:r w:rsidR="007B1CAD">
              <w:rPr>
                <w:rFonts w:ascii="Cambria" w:hAnsi="Cambria"/>
                <w:sz w:val="20"/>
                <w:lang w:bidi="x-none"/>
              </w:rPr>
              <w:t>about an</w:t>
            </w:r>
            <w:r>
              <w:rPr>
                <w:rFonts w:ascii="Cambria" w:hAnsi="Cambria"/>
                <w:sz w:val="20"/>
                <w:lang w:bidi="x-none"/>
              </w:rPr>
              <w:t xml:space="preserve"> effort to further prior senate lead online course standards work</w:t>
            </w:r>
          </w:p>
        </w:tc>
      </w:tr>
      <w:tr w:rsidR="001D423F" w:rsidRPr="00467A99" w14:paraId="6FF99003" w14:textId="61DDC861" w:rsidTr="001D423F">
        <w:tc>
          <w:tcPr>
            <w:tcW w:w="1521" w:type="pct"/>
          </w:tcPr>
          <w:p w14:paraId="393B143C" w14:textId="3B2CE852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857" w:type="pct"/>
          </w:tcPr>
          <w:p w14:paraId="0020AC23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2A841C76" w14:textId="77EAA74A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45" w:type="pct"/>
          </w:tcPr>
          <w:p w14:paraId="4A9923A7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82" w:type="pct"/>
          </w:tcPr>
          <w:p w14:paraId="145D1652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6B071F46" w14:textId="77777777" w:rsidTr="001D423F">
        <w:tc>
          <w:tcPr>
            <w:tcW w:w="1521" w:type="pct"/>
          </w:tcPr>
          <w:p w14:paraId="6027FD80" w14:textId="275823A8" w:rsidR="00B05FFB" w:rsidRPr="00156526" w:rsidRDefault="00DB154D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Marketing/Enrollment Efforts</w:t>
            </w:r>
          </w:p>
        </w:tc>
        <w:tc>
          <w:tcPr>
            <w:tcW w:w="857" w:type="pct"/>
          </w:tcPr>
          <w:p w14:paraId="38C82AFB" w14:textId="7C4436DE" w:rsidR="00B05FFB" w:rsidRPr="00293804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99326A4" w14:textId="264F67A6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7934FF0C" w14:textId="2D631D8B" w:rsidR="00B05FFB" w:rsidRDefault="00DB154D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Info/</w:t>
            </w:r>
            <w:r w:rsidR="00B05FFB"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45" w:type="pct"/>
          </w:tcPr>
          <w:p w14:paraId="0129709D" w14:textId="2F1DEEFF" w:rsidR="00B05FFB" w:rsidRDefault="00DB154D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Pennington</w:t>
            </w:r>
          </w:p>
        </w:tc>
        <w:tc>
          <w:tcPr>
            <w:tcW w:w="1082" w:type="pct"/>
          </w:tcPr>
          <w:p w14:paraId="2DD1F740" w14:textId="45E55ACB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13B50FA2" w14:textId="13251A90" w:rsidTr="001D423F">
        <w:tc>
          <w:tcPr>
            <w:tcW w:w="1521" w:type="pct"/>
          </w:tcPr>
          <w:p w14:paraId="759F98B4" w14:textId="68C5C48F" w:rsidR="00B05FFB" w:rsidRDefault="00DB154D" w:rsidP="00B05FFB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AP 4100 Graduation Requirements for Degrees and Certificates</w:t>
            </w:r>
          </w:p>
        </w:tc>
        <w:tc>
          <w:tcPr>
            <w:tcW w:w="857" w:type="pct"/>
          </w:tcPr>
          <w:p w14:paraId="35246472" w14:textId="2A931CD4" w:rsidR="00B05FFB" w:rsidRPr="00DB154D" w:rsidRDefault="00DB154D" w:rsidP="00B05FFB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DB154D">
              <w:rPr>
                <w:rFonts w:ascii="Cambria" w:hAnsi="Cambria"/>
                <w:sz w:val="20"/>
                <w:szCs w:val="20"/>
                <w:lang w:bidi="x-none"/>
              </w:rPr>
              <w:t>Draft AP 4100 Graduation Requirements for Degrees and Certificates</w:t>
            </w:r>
          </w:p>
        </w:tc>
        <w:tc>
          <w:tcPr>
            <w:tcW w:w="895" w:type="pct"/>
          </w:tcPr>
          <w:p w14:paraId="06B23A83" w14:textId="5F2A6978" w:rsidR="00B05FFB" w:rsidRDefault="001D423F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1D423F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645" w:type="pct"/>
          </w:tcPr>
          <w:p w14:paraId="6183ADF2" w14:textId="24D23325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Escoto</w:t>
            </w:r>
          </w:p>
        </w:tc>
        <w:tc>
          <w:tcPr>
            <w:tcW w:w="1082" w:type="pct"/>
          </w:tcPr>
          <w:p w14:paraId="1178D43E" w14:textId="21AE51AD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will </w:t>
            </w:r>
            <w:r w:rsidR="00DB154D">
              <w:rPr>
                <w:rFonts w:ascii="Cambria" w:hAnsi="Cambria"/>
                <w:sz w:val="20"/>
                <w:lang w:bidi="x-none"/>
              </w:rPr>
              <w:t xml:space="preserve">discuss and possibly take action </w:t>
            </w:r>
            <w:r w:rsidR="001D423F">
              <w:rPr>
                <w:rFonts w:ascii="Cambria" w:hAnsi="Cambria"/>
                <w:sz w:val="20"/>
                <w:lang w:bidi="x-none"/>
              </w:rPr>
              <w:t>AP 4100</w:t>
            </w:r>
            <w:r>
              <w:rPr>
                <w:rFonts w:ascii="Cambria" w:hAnsi="Cambria"/>
                <w:sz w:val="20"/>
                <w:lang w:bidi="x-none"/>
              </w:rPr>
              <w:t xml:space="preserve"> </w:t>
            </w:r>
          </w:p>
        </w:tc>
      </w:tr>
      <w:tr w:rsidR="001D423F" w:rsidRPr="00467A99" w14:paraId="72D224CD" w14:textId="24674420" w:rsidTr="001D423F">
        <w:tc>
          <w:tcPr>
            <w:tcW w:w="1521" w:type="pct"/>
          </w:tcPr>
          <w:p w14:paraId="7AF05215" w14:textId="488C0461" w:rsidR="00B05FFB" w:rsidRPr="00BD220D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857" w:type="pct"/>
          </w:tcPr>
          <w:p w14:paraId="770BBD09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7089FA9F" w14:textId="3AA2569F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45" w:type="pct"/>
          </w:tcPr>
          <w:p w14:paraId="2AE3737C" w14:textId="19542BB1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082" w:type="pct"/>
          </w:tcPr>
          <w:p w14:paraId="28AD3BDE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4F2000AA" w14:textId="18DE8EFD" w:rsidTr="001D423F">
        <w:tc>
          <w:tcPr>
            <w:tcW w:w="1521" w:type="pct"/>
          </w:tcPr>
          <w:p w14:paraId="0818F7CB" w14:textId="3D62F124" w:rsidR="00B05FFB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14010AF" w14:textId="77777777" w:rsidR="00682D68" w:rsidRDefault="00682D6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70C9D778" w14:textId="45D53712" w:rsidR="00DB154D" w:rsidRDefault="00DB154D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 w:rsidRPr="00DB154D">
              <w:rPr>
                <w:rFonts w:ascii="Cambria" w:hAnsi="Cambria"/>
                <w:sz w:val="22"/>
                <w:lang w:bidi="x-none"/>
              </w:rPr>
              <w:t>a.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7B0E48">
              <w:rPr>
                <w:rFonts w:ascii="Cambria" w:hAnsi="Cambria"/>
                <w:sz w:val="22"/>
                <w:lang w:bidi="x-none"/>
              </w:rPr>
              <w:t>Elections committee update</w:t>
            </w:r>
          </w:p>
          <w:p w14:paraId="67DDA72A" w14:textId="77777777" w:rsidR="00DB154D" w:rsidRDefault="00DB154D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17C9C7B9" w14:textId="0349AECE" w:rsidR="00DB154D" w:rsidRDefault="00DB154D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b. Need a recorder for Community and Communication</w:t>
            </w:r>
          </w:p>
          <w:p w14:paraId="6100B8A1" w14:textId="77777777" w:rsidR="001600A8" w:rsidRDefault="001600A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73B7DE77" w14:textId="05A644C0" w:rsidR="001600A8" w:rsidRPr="00DB154D" w:rsidRDefault="001600A8" w:rsidP="00DB154D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c.  </w:t>
            </w:r>
            <w:r w:rsidR="007B0E48">
              <w:rPr>
                <w:rFonts w:ascii="Cambria" w:hAnsi="Cambria"/>
                <w:sz w:val="22"/>
                <w:lang w:bidi="x-none"/>
              </w:rPr>
              <w:t>Looking ahead 10 years</w:t>
            </w:r>
          </w:p>
          <w:p w14:paraId="453B231A" w14:textId="77777777" w:rsidR="00B05FFB" w:rsidRDefault="00B05FFB" w:rsidP="00B05FFB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47202281" w14:textId="70DB0355" w:rsidR="00B05FFB" w:rsidRPr="009E5D82" w:rsidRDefault="00B05FFB" w:rsidP="00B05FFB">
            <w:pPr>
              <w:ind w:left="360" w:right="93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57" w:type="pct"/>
          </w:tcPr>
          <w:p w14:paraId="11E15F3F" w14:textId="77777777" w:rsidR="00B05FFB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8B98E6" w14:textId="77777777" w:rsidR="00B05FFB" w:rsidRPr="0079183D" w:rsidRDefault="00B05FFB" w:rsidP="00B05FFB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895" w:type="pct"/>
          </w:tcPr>
          <w:p w14:paraId="36D89225" w14:textId="185FE973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45" w:type="pct"/>
          </w:tcPr>
          <w:p w14:paraId="0BB8E46E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082" w:type="pct"/>
          </w:tcPr>
          <w:p w14:paraId="2D20437F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1D423F" w:rsidRPr="00467A99" w14:paraId="6FDDB84D" w14:textId="49CA32D5" w:rsidTr="001D423F">
        <w:tc>
          <w:tcPr>
            <w:tcW w:w="1521" w:type="pct"/>
          </w:tcPr>
          <w:p w14:paraId="19C65626" w14:textId="77777777" w:rsidR="00B05FFB" w:rsidRPr="00467A99" w:rsidRDefault="00B05FFB" w:rsidP="00B05FFB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857" w:type="pct"/>
          </w:tcPr>
          <w:p w14:paraId="286C9622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95" w:type="pct"/>
          </w:tcPr>
          <w:p w14:paraId="68E3A1DB" w14:textId="30758B45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45" w:type="pct"/>
          </w:tcPr>
          <w:p w14:paraId="4B9A0C7B" w14:textId="77777777" w:rsidR="00B05FFB" w:rsidRPr="00467A99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082" w:type="pct"/>
          </w:tcPr>
          <w:p w14:paraId="6D0CEB18" w14:textId="77777777" w:rsidR="00B05FFB" w:rsidRPr="00C72A07" w:rsidRDefault="00B05FFB" w:rsidP="00B05F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1AC74DE9" w:rsidR="003809C5" w:rsidRDefault="002A16A7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ASdraftminutes2.11</w:t>
      </w:r>
      <w:r w:rsidR="001C3B30">
        <w:rPr>
          <w:rFonts w:ascii="Cambria" w:hAnsi="Cambria"/>
          <w:sz w:val="22"/>
          <w:lang w:bidi="x-none"/>
        </w:rPr>
        <w:t>.19</w:t>
      </w:r>
    </w:p>
    <w:p w14:paraId="0151D974" w14:textId="71E7D049" w:rsidR="002F5DCB" w:rsidRDefault="002F5DCB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 w:rsidRPr="002F5DCB">
        <w:rPr>
          <w:rFonts w:ascii="Cambria" w:hAnsi="Cambria"/>
          <w:sz w:val="22"/>
          <w:lang w:bidi="x-none"/>
        </w:rPr>
        <w:t>PT Subcommittee</w:t>
      </w:r>
    </w:p>
    <w:p w14:paraId="2C615A66" w14:textId="0A367870" w:rsidR="00AE592F" w:rsidRPr="00FC2C14" w:rsidRDefault="00FC2C14" w:rsidP="00D14B24">
      <w:pPr>
        <w:tabs>
          <w:tab w:val="left" w:pos="360"/>
        </w:tabs>
        <w:rPr>
          <w:rFonts w:ascii="Cambria" w:hAnsi="Cambria"/>
          <w:sz w:val="22"/>
          <w:szCs w:val="22"/>
          <w:lang w:bidi="x-none"/>
        </w:rPr>
      </w:pPr>
      <w:r w:rsidRPr="00FC2C14">
        <w:rPr>
          <w:rFonts w:ascii="Cambria" w:hAnsi="Cambria"/>
          <w:sz w:val="22"/>
          <w:szCs w:val="22"/>
          <w:lang w:bidi="x-none"/>
        </w:rPr>
        <w:t>Draft AP 4100 Graduation Requirements for Degrees and Certificates</w:t>
      </w: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6C8C974F" w14:textId="19C4CCED" w:rsidR="00F52093" w:rsidRDefault="002A16A7" w:rsidP="00A65428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Biology Search Committee: Jeff Schinske (BHS), Gillian Shultz (BHS), Sara Cooper (BHS).</w:t>
      </w:r>
    </w:p>
    <w:p w14:paraId="2326CA7D" w14:textId="5E21DDE0" w:rsidR="002A16A7" w:rsidRDefault="002A16A7" w:rsidP="00A65428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Chemistry Search Committee: Rosa Nguyen (PSME), Sandhya Rao (PSME), Londa Larson (PSME).</w:t>
      </w:r>
    </w:p>
    <w:p w14:paraId="5449BA6F" w14:textId="19E091AC" w:rsidR="002A16A7" w:rsidRPr="001B1A73" w:rsidRDefault="007B0888" w:rsidP="00A65428">
      <w:r>
        <w:rPr>
          <w:rFonts w:ascii="Cambria" w:hAnsi="Cambria"/>
          <w:sz w:val="22"/>
        </w:rPr>
        <w:t>Articulation Officer Search Committee: Bernie Day (Articulation Officer)</w:t>
      </w:r>
      <w:r w:rsidR="00FC2C14">
        <w:rPr>
          <w:rFonts w:ascii="Cambria" w:hAnsi="Cambria"/>
          <w:sz w:val="22"/>
        </w:rPr>
        <w:t>.</w:t>
      </w:r>
    </w:p>
    <w:p w14:paraId="5B07D28A" w14:textId="5DE88B82" w:rsidR="00A65428" w:rsidRPr="003F7725" w:rsidRDefault="00A65428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35C5AD9" w14:textId="52096791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0" w:name="TenPlusOneList"/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7B1CAD">
        <w:rPr>
          <w:rFonts w:asciiTheme="minorHAnsi" w:hAnsiTheme="minorHAnsi"/>
          <w:sz w:val="22"/>
          <w:szCs w:val="22"/>
        </w:rPr>
        <w:t>. 1</w:t>
      </w:r>
      <w:bookmarkStart w:id="1" w:name="_GoBack"/>
      <w:bookmarkEnd w:id="1"/>
      <w:r w:rsidR="007B1CAD">
        <w:rPr>
          <w:rFonts w:asciiTheme="minorHAnsi" w:hAnsiTheme="minorHAnsi"/>
          <w:sz w:val="22"/>
          <w:szCs w:val="22"/>
        </w:rPr>
        <w:t xml:space="preserve"> recorder. </w:t>
      </w:r>
    </w:p>
    <w:p w14:paraId="1EDFB7B2" w14:textId="78047E9A" w:rsidR="007B1CAD" w:rsidRDefault="007B1CAD" w:rsidP="00CE4F6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0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>All begin at 2PM and are held in the Toyon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>joint mtg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A94459" w:rsidRDefault="00AA59E3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94459">
              <w:rPr>
                <w:rFonts w:ascii="Cambria" w:eastAsia="Cambria" w:hAnsi="Cambria" w:cs="Cambria"/>
                <w:strike/>
                <w:sz w:val="21"/>
                <w:szCs w:val="22"/>
              </w:rPr>
              <w:t>2/4/19</w:t>
            </w:r>
          </w:p>
          <w:p w14:paraId="0290C732" w14:textId="1CC49623" w:rsidR="006419B0" w:rsidRPr="002A16A7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7F04DE" w:rsidRPr="002A16A7">
              <w:rPr>
                <w:rFonts w:ascii="Cambria" w:eastAsia="Cambria" w:hAnsi="Cambria" w:cs="Cambria"/>
                <w:strike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listservs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19195D3C" w14:textId="7655E438" w:rsidR="00FD61A6" w:rsidRDefault="002A16A7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FD61A6" w:rsidRPr="002A16A7">
          <w:rPr>
            <w:rStyle w:val="Hyperlink"/>
            <w:rFonts w:ascii="Cambria" w:hAnsi="Cambria"/>
            <w:sz w:val="22"/>
          </w:rPr>
          <w:t>Faculty Diversification Meeting</w:t>
        </w:r>
      </w:hyperlink>
      <w:r w:rsidR="00FD61A6">
        <w:rPr>
          <w:rFonts w:ascii="Cambria" w:hAnsi="Cambria"/>
          <w:sz w:val="22"/>
        </w:rPr>
        <w:t xml:space="preserve"> –</w:t>
      </w:r>
      <w:r w:rsidR="00AA59E3">
        <w:rPr>
          <w:rFonts w:ascii="Cambria" w:hAnsi="Cambria"/>
          <w:sz w:val="22"/>
        </w:rPr>
        <w:t xml:space="preserve"> Bakersfield College (February 21</w:t>
      </w:r>
      <w:r w:rsidR="00AA59E3" w:rsidRPr="00AA59E3">
        <w:rPr>
          <w:rFonts w:ascii="Cambria" w:hAnsi="Cambria"/>
          <w:sz w:val="22"/>
          <w:vertAlign w:val="superscript"/>
        </w:rPr>
        <w:t>st</w:t>
      </w:r>
      <w:r w:rsidR="00AA59E3">
        <w:rPr>
          <w:rFonts w:ascii="Cambria" w:hAnsi="Cambria"/>
          <w:sz w:val="22"/>
        </w:rPr>
        <w:t>), Yuba College (February 25), Norco College (February 28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).</w:t>
      </w:r>
    </w:p>
    <w:p w14:paraId="1EE1C8E3" w14:textId="44DDF7FC" w:rsidR="00AA59E3" w:rsidRDefault="007B1CAD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AA59E3" w:rsidRPr="00AA59E3">
          <w:rPr>
            <w:rStyle w:val="Hyperlink"/>
            <w:rFonts w:ascii="Cambria" w:hAnsi="Cambria"/>
            <w:sz w:val="22"/>
          </w:rPr>
          <w:t>2019 Spring Plenary Session</w:t>
        </w:r>
      </w:hyperlink>
      <w:r w:rsidR="00AA59E3">
        <w:rPr>
          <w:rFonts w:ascii="Cambria" w:hAnsi="Cambria"/>
          <w:sz w:val="22"/>
        </w:rPr>
        <w:t>, April 11-13 2019, Westin San Francisco Airport</w:t>
      </w:r>
    </w:p>
    <w:p w14:paraId="127F4D86" w14:textId="74C9460D" w:rsidR="00AA59E3" w:rsidRDefault="007B1CAD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AA59E3" w:rsidRPr="00AA59E3">
          <w:rPr>
            <w:rStyle w:val="Hyperlink"/>
            <w:rFonts w:ascii="Cambria" w:hAnsi="Cambria"/>
            <w:sz w:val="22"/>
          </w:rPr>
          <w:t>Career and Noncredit Institute</w:t>
        </w:r>
      </w:hyperlink>
      <w:r w:rsidR="00AA59E3">
        <w:rPr>
          <w:rFonts w:ascii="Cambria" w:hAnsi="Cambria"/>
          <w:sz w:val="22"/>
        </w:rPr>
        <w:t>, April 25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-27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Double Tree by Hilton San Diego Mission Valley</w:t>
      </w:r>
    </w:p>
    <w:p w14:paraId="68915FF3" w14:textId="2C9EB936" w:rsidR="00AA59E3" w:rsidRDefault="007B1CAD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="00AA59E3" w:rsidRPr="00AA59E3">
          <w:rPr>
            <w:rStyle w:val="Hyperlink"/>
            <w:rFonts w:ascii="Cambria" w:hAnsi="Cambria"/>
            <w:sz w:val="22"/>
          </w:rPr>
          <w:t>2019 Faculty Leadership Institute</w:t>
        </w:r>
      </w:hyperlink>
      <w:r w:rsidR="00AA59E3">
        <w:rPr>
          <w:rFonts w:ascii="Cambria" w:hAnsi="Cambria"/>
          <w:sz w:val="22"/>
        </w:rPr>
        <w:t>, June 13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-15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Sheraton Grand Sacramento Hotel</w:t>
      </w:r>
    </w:p>
    <w:p w14:paraId="2C1AD79A" w14:textId="77777777" w:rsidR="00AA59E3" w:rsidRPr="00467A99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562B4159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>Isaac Escoto</w:t>
      </w:r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>, Ben Armerding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Schaefers (AS Secretary 19’), </w:t>
      </w:r>
      <w:r>
        <w:rPr>
          <w:rFonts w:asciiTheme="minorHAnsi" w:hAnsiTheme="minorHAnsi" w:cs="Times"/>
        </w:rPr>
        <w:t>Tracee Cunningham (Cnsl), Voltaire Villanueva (Cnsl),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>aela Agyare (Library), Amber La Piana (LA), David McCormick (LA), Hilary Gomes (FA/Comm), Jordan Fong (FA/Comm),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Sunseri</w:t>
      </w:r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>
        <w:rPr>
          <w:rFonts w:asciiTheme="minorHAnsi" w:hAnsiTheme="minorHAnsi" w:cs="Times"/>
        </w:rPr>
        <w:t xml:space="preserve">Robert Cormia (PSME), </w:t>
      </w:r>
      <w:r w:rsidR="00811124">
        <w:rPr>
          <w:rFonts w:asciiTheme="minorHAnsi" w:hAnsiTheme="minorHAnsi" w:cs="Times"/>
        </w:rPr>
        <w:t>David Marasco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>/Athletics), Mimi Overton (SRC), Carolyn Holcroft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4B3B14">
        <w:rPr>
          <w:rFonts w:asciiTheme="minorHAnsi" w:hAnsiTheme="minorHAnsi" w:cs="Times"/>
        </w:rPr>
        <w:t xml:space="preserve"> Chelsey</w:t>
      </w:r>
      <w:r w:rsidR="00FD61A6">
        <w:rPr>
          <w:rFonts w:asciiTheme="minorHAnsi" w:hAnsiTheme="minorHAnsi" w:cs="Times"/>
        </w:rPr>
        <w:t xml:space="preserve">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notTrueType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00A8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1A7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B30"/>
    <w:rsid w:val="001C4F4E"/>
    <w:rsid w:val="001C5B27"/>
    <w:rsid w:val="001C5DA3"/>
    <w:rsid w:val="001C6BCF"/>
    <w:rsid w:val="001C7AE4"/>
    <w:rsid w:val="001D0277"/>
    <w:rsid w:val="001D337F"/>
    <w:rsid w:val="001D423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16A7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5DCB"/>
    <w:rsid w:val="002F69C0"/>
    <w:rsid w:val="002F6BAA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3B14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6C23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2D68"/>
    <w:rsid w:val="006830D1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0DDD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0888"/>
    <w:rsid w:val="007B0E48"/>
    <w:rsid w:val="007B1787"/>
    <w:rsid w:val="007B1CAD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459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5FFB"/>
    <w:rsid w:val="00B07416"/>
    <w:rsid w:val="00B135B7"/>
    <w:rsid w:val="00B14790"/>
    <w:rsid w:val="00B156A7"/>
    <w:rsid w:val="00B16791"/>
    <w:rsid w:val="00B167E3"/>
    <w:rsid w:val="00B17D3F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77BD"/>
    <w:rsid w:val="00C77AF6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54D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A0A17"/>
    <w:rsid w:val="00FA1838"/>
    <w:rsid w:val="00FA1DFF"/>
    <w:rsid w:val="00FA1E34"/>
    <w:rsid w:val="00FA3204"/>
    <w:rsid w:val="00FA5074"/>
    <w:rsid w:val="00FA544C"/>
    <w:rsid w:val="00FA6033"/>
    <w:rsid w:val="00FB1821"/>
    <w:rsid w:val="00FB3968"/>
    <w:rsid w:val="00FB3B05"/>
    <w:rsid w:val="00FB3B50"/>
    <w:rsid w:val="00FB6CC9"/>
    <w:rsid w:val="00FB77AD"/>
    <w:rsid w:val="00FC2C14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4-25-180000-2019-04-27-190000/2019-career-and-noncredit-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4-11-150000-2019-04-13-230000/2019-spring-plenary-s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calendar/list/ev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cc.org/events/2019-06-13-180000-2019-06-15-190000/2019-faculty-leadership-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4998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6</cp:revision>
  <cp:lastPrinted>2019-01-28T21:18:00Z</cp:lastPrinted>
  <dcterms:created xsi:type="dcterms:W3CDTF">2019-02-22T02:26:00Z</dcterms:created>
  <dcterms:modified xsi:type="dcterms:W3CDTF">2019-02-22T05:47:00Z</dcterms:modified>
  <cp:category/>
</cp:coreProperties>
</file>