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AFE1A24" w:rsidR="00844ADA" w:rsidRPr="00467A99" w:rsidRDefault="00DD193E" w:rsidP="00133D94">
      <w:pPr>
        <w:pStyle w:val="Title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Foothill/De Anza</w:t>
      </w:r>
      <w:r w:rsidR="00844ADA" w:rsidRPr="00467A99">
        <w:rPr>
          <w:rFonts w:ascii="Cambria" w:hAnsi="Cambria"/>
          <w:sz w:val="22"/>
        </w:rPr>
        <w:t xml:space="preserve">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="00844ADA" w:rsidRPr="00467A99">
        <w:rPr>
          <w:rFonts w:ascii="Cambria" w:hAnsi="Cambria"/>
          <w:sz w:val="22"/>
        </w:rPr>
        <w:t>Meeting Agenda</w:t>
      </w:r>
    </w:p>
    <w:p w14:paraId="3C40E423" w14:textId="31EBAFA3" w:rsidR="00844ADA" w:rsidRPr="00467A99" w:rsidRDefault="005E0CEC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October </w:t>
      </w:r>
      <w:r w:rsidR="00DD193E">
        <w:rPr>
          <w:rFonts w:ascii="Cambria" w:hAnsi="Cambria"/>
          <w:sz w:val="22"/>
        </w:rPr>
        <w:t>29th</w:t>
      </w:r>
      <w:r>
        <w:rPr>
          <w:rFonts w:ascii="Cambria" w:hAnsi="Cambria"/>
          <w:sz w:val="22"/>
        </w:rPr>
        <w:t xml:space="preserve"> 2018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FF6B79">
        <w:rPr>
          <w:rFonts w:ascii="Cambria" w:hAnsi="Cambria"/>
          <w:sz w:val="22"/>
        </w:rPr>
        <w:t xml:space="preserve">Foothill Campus,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  <w:r w:rsidR="00DD193E">
        <w:rPr>
          <w:rFonts w:ascii="Cambria" w:hAnsi="Cambria"/>
          <w:sz w:val="22"/>
        </w:rPr>
        <w:t xml:space="preserve"> </w:t>
      </w:r>
      <w:r w:rsidR="001D2543">
        <w:rPr>
          <w:rFonts w:ascii="Cambria" w:hAnsi="Cambria"/>
          <w:sz w:val="22"/>
        </w:rPr>
        <w:t>2020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9"/>
        <w:gridCol w:w="2562"/>
        <w:gridCol w:w="1870"/>
        <w:gridCol w:w="1199"/>
        <w:gridCol w:w="2186"/>
      </w:tblGrid>
      <w:tr w:rsidR="00E81C9F" w:rsidRPr="00467A99" w14:paraId="0BE18DC1" w14:textId="6D2B53DF" w:rsidTr="00DD193E">
        <w:tc>
          <w:tcPr>
            <w:tcW w:w="1071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299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950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612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068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E81C9F" w:rsidRPr="00467A99" w14:paraId="14C390FA" w14:textId="7DCBE8FC" w:rsidTr="00DD193E">
        <w:tc>
          <w:tcPr>
            <w:tcW w:w="1071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299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0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12" w:type="pct"/>
          </w:tcPr>
          <w:p w14:paraId="2A40D8A2" w14:textId="696464CD" w:rsidR="00E81C9F" w:rsidRPr="00467A99" w:rsidRDefault="000B238E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068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52BB6181" w14:textId="6C0A80A3" w:rsidTr="00DD193E">
        <w:tc>
          <w:tcPr>
            <w:tcW w:w="1071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299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0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12" w:type="pct"/>
          </w:tcPr>
          <w:p w14:paraId="225C8733" w14:textId="0C1C6277" w:rsidR="00E81C9F" w:rsidRPr="00467A99" w:rsidRDefault="000B238E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068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4FEF3600" w14:textId="77777777" w:rsidTr="00DD193E">
        <w:tc>
          <w:tcPr>
            <w:tcW w:w="1071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299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0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12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68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2E681B68" w14:textId="77777777" w:rsidTr="00DD193E">
        <w:tc>
          <w:tcPr>
            <w:tcW w:w="1071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299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0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612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68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CE4F61" w:rsidRPr="00467A99" w14:paraId="638288B1" w14:textId="179CB67C" w:rsidTr="00DD193E">
        <w:tc>
          <w:tcPr>
            <w:tcW w:w="1071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299" w:type="pct"/>
          </w:tcPr>
          <w:p w14:paraId="23593C05" w14:textId="66454801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0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12" w:type="pct"/>
          </w:tcPr>
          <w:p w14:paraId="04379602" w14:textId="7BE39E85" w:rsidR="00CE4F61" w:rsidRPr="00467A99" w:rsidRDefault="00DD193E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De Anza </w:t>
            </w:r>
            <w:r w:rsidR="00CE4F61"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68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6FF99003" w14:textId="61DDC861" w:rsidTr="00DD193E">
        <w:tc>
          <w:tcPr>
            <w:tcW w:w="1071" w:type="pct"/>
          </w:tcPr>
          <w:p w14:paraId="393B143C" w14:textId="3B2CE852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299" w:type="pct"/>
          </w:tcPr>
          <w:p w14:paraId="0020AC23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0" w:type="pct"/>
          </w:tcPr>
          <w:p w14:paraId="2A841C76" w14:textId="77EAA74A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12" w:type="pct"/>
          </w:tcPr>
          <w:p w14:paraId="4A9923A7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68" w:type="pct"/>
          </w:tcPr>
          <w:p w14:paraId="145D1652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10E01400" w14:textId="522DFC8A" w:rsidTr="00DD193E">
        <w:tc>
          <w:tcPr>
            <w:tcW w:w="1071" w:type="pct"/>
          </w:tcPr>
          <w:p w14:paraId="3B325D51" w14:textId="724D3AC1" w:rsidR="00CE4F61" w:rsidRDefault="00DD193E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Fall 2018 Plenary Resolutions</w:t>
            </w:r>
          </w:p>
        </w:tc>
        <w:tc>
          <w:tcPr>
            <w:tcW w:w="1299" w:type="pct"/>
          </w:tcPr>
          <w:p w14:paraId="212A9833" w14:textId="77777777" w:rsidR="00DD193E" w:rsidRDefault="00DD193E" w:rsidP="00DD193E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  <w:r w:rsidRPr="004D0D2E">
              <w:rPr>
                <w:rFonts w:ascii="Cambria" w:hAnsi="Cambria"/>
                <w:sz w:val="22"/>
              </w:rPr>
              <w:t>ResolutionsPacket-F18-Thursday-final</w:t>
            </w:r>
          </w:p>
          <w:p w14:paraId="24AFBBEE" w14:textId="781FC29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0" w:type="pct"/>
          </w:tcPr>
          <w:p w14:paraId="1632B7E2" w14:textId="17D3FF84" w:rsidR="00CE4F61" w:rsidRDefault="00D0340A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</w:t>
            </w:r>
          </w:p>
        </w:tc>
        <w:tc>
          <w:tcPr>
            <w:tcW w:w="612" w:type="pct"/>
          </w:tcPr>
          <w:p w14:paraId="4BFF0142" w14:textId="45E18598" w:rsidR="00CE4F61" w:rsidRDefault="00DD193E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068" w:type="pct"/>
          </w:tcPr>
          <w:p w14:paraId="493E0F2D" w14:textId="38F647A2" w:rsidR="00CE4F61" w:rsidRPr="00C72A07" w:rsidRDefault="00DD193E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discuss current resolutions to be considered at ASCCC Fall Plenary</w:t>
            </w:r>
          </w:p>
        </w:tc>
      </w:tr>
      <w:tr w:rsidR="00CE4F61" w:rsidRPr="00467A99" w14:paraId="4F2000AA" w14:textId="18DE8EFD" w:rsidTr="00DD193E">
        <w:tc>
          <w:tcPr>
            <w:tcW w:w="1071" w:type="pct"/>
          </w:tcPr>
          <w:p w14:paraId="0818F7CB" w14:textId="4DF5E35A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47202281" w14:textId="70DB0355" w:rsidR="00125F04" w:rsidRPr="009E5D82" w:rsidRDefault="00125F04" w:rsidP="00DD193E">
            <w:pPr>
              <w:ind w:left="81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99" w:type="pct"/>
          </w:tcPr>
          <w:p w14:paraId="328B98E6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0" w:type="pct"/>
          </w:tcPr>
          <w:p w14:paraId="36D89225" w14:textId="185FE973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12" w:type="pct"/>
          </w:tcPr>
          <w:p w14:paraId="0BB8E46E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68" w:type="pct"/>
          </w:tcPr>
          <w:p w14:paraId="2D20437F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6FDDB84D" w14:textId="49CA32D5" w:rsidTr="00DD193E">
        <w:tc>
          <w:tcPr>
            <w:tcW w:w="1071" w:type="pct"/>
          </w:tcPr>
          <w:p w14:paraId="19C6562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299" w:type="pct"/>
          </w:tcPr>
          <w:p w14:paraId="286C962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0" w:type="pct"/>
          </w:tcPr>
          <w:p w14:paraId="68E3A1DB" w14:textId="30758B45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12" w:type="pct"/>
          </w:tcPr>
          <w:p w14:paraId="4B9A0C7B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68" w:type="pct"/>
          </w:tcPr>
          <w:p w14:paraId="6D0CEB18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4EF556B3" w14:textId="521FD67F" w:rsidR="004D0D2E" w:rsidRDefault="004D0D2E" w:rsidP="00D14B24">
      <w:pPr>
        <w:tabs>
          <w:tab w:val="left" w:pos="360"/>
        </w:tabs>
        <w:rPr>
          <w:rFonts w:ascii="Cambria" w:hAnsi="Cambria"/>
          <w:sz w:val="22"/>
        </w:rPr>
      </w:pPr>
      <w:r w:rsidRPr="004D0D2E">
        <w:rPr>
          <w:rFonts w:ascii="Cambria" w:hAnsi="Cambria"/>
          <w:sz w:val="22"/>
        </w:rPr>
        <w:t>ResolutionsPacket-F18-Thursday-final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  <w:bookmarkStart w:id="0" w:name="TenPlusOneList"/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0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D03B0E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37FA3870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</w:t>
      </w:r>
      <w:r w:rsidR="000B238E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Foothill 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0B238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0B238E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10/29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5BBD4561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11/5/18</w:t>
            </w:r>
          </w:p>
          <w:p w14:paraId="493654B7" w14:textId="77777777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/16</w:t>
            </w:r>
          </w:p>
          <w:p w14:paraId="4F49B00C" w14:textId="0EB3034C" w:rsidR="007F04DE" w:rsidRPr="001A595A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/14/19</w:t>
            </w:r>
          </w:p>
          <w:p w14:paraId="120FC8A3" w14:textId="659B2685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1/28/19</w:t>
            </w:r>
          </w:p>
          <w:p w14:paraId="0290C732" w14:textId="1CC49623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11/19</w:t>
            </w:r>
          </w:p>
          <w:p w14:paraId="07368290" w14:textId="40E16AD8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5/19</w:t>
            </w:r>
          </w:p>
          <w:p w14:paraId="513B8709" w14:textId="5A8C9C54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7E9D2625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5272BBFC" w:rsidR="006419B0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6/23/19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</w:t>
        </w:r>
        <w:bookmarkStart w:id="1" w:name="_GoBack"/>
        <w:bookmarkEnd w:id="1"/>
        <w:r w:rsidR="001B0123" w:rsidRPr="00A235E0">
          <w:rPr>
            <w:rStyle w:val="Hyperlink"/>
            <w:rFonts w:ascii="Cambria" w:hAnsi="Cambria"/>
            <w:sz w:val="22"/>
          </w:rPr>
          <w:t>l</w:t>
        </w:r>
        <w:r w:rsidR="001B0123" w:rsidRPr="00A235E0">
          <w:rPr>
            <w:rStyle w:val="Hyperlink"/>
            <w:rFonts w:ascii="Cambria" w:hAnsi="Cambria"/>
            <w:sz w:val="22"/>
          </w:rPr>
          <w:t>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594B28AB" w14:textId="32264406" w:rsidR="00D50EAA" w:rsidRDefault="001C003B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D50EAA" w:rsidRPr="00D50EAA">
          <w:rPr>
            <w:rStyle w:val="Hyperlink"/>
            <w:rFonts w:ascii="Cambria" w:hAnsi="Cambria"/>
            <w:sz w:val="22"/>
          </w:rPr>
          <w:t>ASCCC Fall Plenary Session</w:t>
        </w:r>
      </w:hyperlink>
      <w:r w:rsidR="00D50EAA">
        <w:rPr>
          <w:rFonts w:ascii="Cambria" w:hAnsi="Cambria"/>
          <w:sz w:val="22"/>
        </w:rPr>
        <w:t>, November 1-3, Irvine Marriott</w:t>
      </w:r>
    </w:p>
    <w:p w14:paraId="010C5B85" w14:textId="07C15DC2" w:rsidR="00D50EAA" w:rsidRDefault="001C003B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D50EAA" w:rsidRPr="00D50EAA">
          <w:rPr>
            <w:rStyle w:val="Hyperlink"/>
            <w:rFonts w:ascii="Cambria" w:hAnsi="Cambria"/>
            <w:sz w:val="22"/>
          </w:rPr>
          <w:t>ASCCC Fall Curriculum Meeting North</w:t>
        </w:r>
      </w:hyperlink>
      <w:r w:rsidR="00D50EAA">
        <w:rPr>
          <w:rFonts w:ascii="Cambria" w:hAnsi="Cambria"/>
          <w:sz w:val="22"/>
        </w:rPr>
        <w:t>, November 16, Mission College</w:t>
      </w:r>
    </w:p>
    <w:p w14:paraId="203682D1" w14:textId="69A6B7BE" w:rsidR="00D50EAA" w:rsidRDefault="001C003B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D50EAA" w:rsidRPr="00D50EAA">
          <w:rPr>
            <w:rStyle w:val="Hyperlink"/>
            <w:rFonts w:ascii="Cambria" w:hAnsi="Cambria"/>
            <w:sz w:val="22"/>
          </w:rPr>
          <w:t>ASCCC Student Learning Outcome Symposium</w:t>
        </w:r>
      </w:hyperlink>
      <w:r w:rsidR="00D50EAA">
        <w:rPr>
          <w:rFonts w:ascii="Cambria" w:hAnsi="Cambria"/>
          <w:sz w:val="22"/>
        </w:rPr>
        <w:t>, January 25</w:t>
      </w:r>
      <w:r w:rsidR="00D50EAA" w:rsidRPr="00D50EAA">
        <w:rPr>
          <w:rFonts w:ascii="Cambria" w:hAnsi="Cambria"/>
          <w:sz w:val="22"/>
          <w:vertAlign w:val="superscript"/>
        </w:rPr>
        <w:t>th</w:t>
      </w:r>
      <w:r w:rsidR="00D50EAA">
        <w:rPr>
          <w:rFonts w:ascii="Cambria" w:hAnsi="Cambria"/>
          <w:sz w:val="22"/>
        </w:rPr>
        <w:t xml:space="preserve"> 2019, Santa Ana College</w:t>
      </w:r>
    </w:p>
    <w:p w14:paraId="6AEEE3D1" w14:textId="5FBEB0E9" w:rsidR="00D50EAA" w:rsidRPr="00467A99" w:rsidRDefault="001C003B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9" w:history="1">
        <w:r w:rsidR="00C466D1" w:rsidRPr="00C466D1">
          <w:rPr>
            <w:rStyle w:val="Hyperlink"/>
            <w:rFonts w:ascii="Cambria" w:hAnsi="Cambria"/>
            <w:sz w:val="22"/>
          </w:rPr>
          <w:t>2019</w:t>
        </w:r>
        <w:r w:rsidR="00D50EAA" w:rsidRPr="00C466D1">
          <w:rPr>
            <w:rStyle w:val="Hyperlink"/>
            <w:rFonts w:ascii="Cambria" w:hAnsi="Cambria"/>
            <w:sz w:val="22"/>
          </w:rPr>
          <w:t xml:space="preserve"> Part-Time Faculty Institute</w:t>
        </w:r>
      </w:hyperlink>
      <w:r w:rsidR="00D50EAA">
        <w:rPr>
          <w:rFonts w:ascii="Cambria" w:hAnsi="Cambria"/>
          <w:sz w:val="22"/>
        </w:rPr>
        <w:t xml:space="preserve">, </w:t>
      </w:r>
      <w:r w:rsidR="00FB3B50">
        <w:rPr>
          <w:rFonts w:ascii="Cambria" w:hAnsi="Cambria"/>
          <w:sz w:val="22"/>
        </w:rPr>
        <w:t xml:space="preserve">February 21-23, Newport Beach Marriott Hotel 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1553E5ED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 xml:space="preserve">Isaac </w:t>
      </w:r>
      <w:proofErr w:type="spellStart"/>
      <w:r w:rsidRPr="001E4F04">
        <w:rPr>
          <w:rFonts w:asciiTheme="minorHAnsi" w:hAnsiTheme="minorHAnsi" w:cs="Times"/>
        </w:rPr>
        <w:t>Escoto</w:t>
      </w:r>
      <w:proofErr w:type="spellEnd"/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 xml:space="preserve">, Ben </w:t>
      </w:r>
      <w:proofErr w:type="spellStart"/>
      <w:r>
        <w:rPr>
          <w:rFonts w:asciiTheme="minorHAnsi" w:hAnsiTheme="minorHAnsi" w:cs="Times"/>
        </w:rPr>
        <w:t>Armerding</w:t>
      </w:r>
      <w:proofErr w:type="spellEnd"/>
      <w:r>
        <w:rPr>
          <w:rFonts w:asciiTheme="minorHAnsi" w:hAnsiTheme="minorHAnsi" w:cs="Times"/>
        </w:rPr>
        <w:t xml:space="preserve">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</w:t>
      </w:r>
      <w:proofErr w:type="spellStart"/>
      <w:r w:rsidR="006937F7">
        <w:rPr>
          <w:rFonts w:asciiTheme="minorHAnsi" w:hAnsiTheme="minorHAnsi" w:cs="Times"/>
        </w:rPr>
        <w:t>Schaefers</w:t>
      </w:r>
      <w:proofErr w:type="spellEnd"/>
      <w:r w:rsidR="006937F7">
        <w:rPr>
          <w:rFonts w:asciiTheme="minorHAnsi" w:hAnsiTheme="minorHAnsi" w:cs="Times"/>
        </w:rPr>
        <w:t xml:space="preserve"> (AS Secretary 19’), </w:t>
      </w:r>
      <w:r>
        <w:rPr>
          <w:rFonts w:asciiTheme="minorHAnsi" w:hAnsiTheme="minorHAnsi" w:cs="Times"/>
        </w:rPr>
        <w:t>Tracee Cunningham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Voltaire Villanueva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 xml:space="preserve">), Kathryn </w:t>
      </w:r>
      <w:proofErr w:type="spellStart"/>
      <w:r>
        <w:rPr>
          <w:rFonts w:asciiTheme="minorHAnsi" w:hAnsiTheme="minorHAnsi" w:cs="Times"/>
        </w:rPr>
        <w:t>Mauer</w:t>
      </w:r>
      <w:proofErr w:type="spellEnd"/>
      <w:r>
        <w:rPr>
          <w:rFonts w:asciiTheme="minorHAnsi" w:hAnsiTheme="minorHAnsi" w:cs="Times"/>
        </w:rPr>
        <w:t xml:space="preserve">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 xml:space="preserve">aela </w:t>
      </w:r>
      <w:proofErr w:type="spellStart"/>
      <w:r>
        <w:rPr>
          <w:rFonts w:asciiTheme="minorHAnsi" w:hAnsiTheme="minorHAnsi" w:cs="Times"/>
        </w:rPr>
        <w:t>Agyare</w:t>
      </w:r>
      <w:proofErr w:type="spellEnd"/>
      <w:r>
        <w:rPr>
          <w:rFonts w:asciiTheme="minorHAnsi" w:hAnsiTheme="minorHAnsi" w:cs="Times"/>
        </w:rPr>
        <w:t xml:space="preserve"> (Library), Amber La </w:t>
      </w:r>
      <w:proofErr w:type="spellStart"/>
      <w:r>
        <w:rPr>
          <w:rFonts w:asciiTheme="minorHAnsi" w:hAnsiTheme="minorHAnsi" w:cs="Times"/>
        </w:rPr>
        <w:t>Piana</w:t>
      </w:r>
      <w:proofErr w:type="spellEnd"/>
      <w:r>
        <w:rPr>
          <w:rFonts w:asciiTheme="minorHAnsi" w:hAnsiTheme="minorHAnsi" w:cs="Times"/>
        </w:rPr>
        <w:t xml:space="preserve"> (LA), David McCormick (LA), Hilary Gomes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 Jordan Fong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 xml:space="preserve">, </w:t>
      </w:r>
      <w:r>
        <w:rPr>
          <w:rFonts w:asciiTheme="minorHAnsi" w:hAnsiTheme="minorHAnsi" w:cs="Times"/>
        </w:rPr>
        <w:t xml:space="preserve">Robert </w:t>
      </w:r>
      <w:proofErr w:type="spellStart"/>
      <w:r>
        <w:rPr>
          <w:rFonts w:asciiTheme="minorHAnsi" w:hAnsiTheme="minorHAnsi" w:cs="Times"/>
        </w:rPr>
        <w:t>Cormia</w:t>
      </w:r>
      <w:proofErr w:type="spellEnd"/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 xml:space="preserve">David </w:t>
      </w:r>
      <w:proofErr w:type="spellStart"/>
      <w:r w:rsidR="00811124">
        <w:rPr>
          <w:rFonts w:asciiTheme="minorHAnsi" w:hAnsiTheme="minorHAnsi" w:cs="Times"/>
        </w:rPr>
        <w:t>Marasco</w:t>
      </w:r>
      <w:proofErr w:type="spellEnd"/>
      <w:r w:rsidR="00811124">
        <w:rPr>
          <w:rFonts w:asciiTheme="minorHAnsi" w:hAnsiTheme="minorHAnsi" w:cs="Times"/>
        </w:rPr>
        <w:t xml:space="preserve"> (PSME), Sara Cooper (BHS/FA Rep),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Dixie Macias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Mimi Overton (SRC), Carolyn </w:t>
      </w:r>
      <w:proofErr w:type="spellStart"/>
      <w:r w:rsidR="00811124">
        <w:rPr>
          <w:rFonts w:asciiTheme="minorHAnsi" w:hAnsiTheme="minorHAnsi" w:cs="Times"/>
        </w:rPr>
        <w:t>Holcroft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6937F7">
        <w:rPr>
          <w:rFonts w:asciiTheme="minorHAnsi" w:hAnsiTheme="minorHAnsi" w:cs="Times"/>
        </w:rPr>
        <w:t>Professional Development), Kristy Lisle (Admin rep), Chelsea Nguyen (ASFC President)</w:t>
      </w:r>
      <w:r w:rsidR="008853B8">
        <w:rPr>
          <w:rFonts w:asciiTheme="minorHAnsi" w:hAnsiTheme="minorHAnsi" w:cs="Times"/>
        </w:rPr>
        <w:t xml:space="preserve">. 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38E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3B"/>
    <w:rsid w:val="001C0082"/>
    <w:rsid w:val="001C0BAB"/>
    <w:rsid w:val="001C22F9"/>
    <w:rsid w:val="001C2397"/>
    <w:rsid w:val="001C5B27"/>
    <w:rsid w:val="001C5DA3"/>
    <w:rsid w:val="001C7AE4"/>
    <w:rsid w:val="001D0277"/>
    <w:rsid w:val="001D2543"/>
    <w:rsid w:val="001D337F"/>
    <w:rsid w:val="001D4C03"/>
    <w:rsid w:val="001D4C66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494A"/>
    <w:rsid w:val="0041742F"/>
    <w:rsid w:val="0042096A"/>
    <w:rsid w:val="0042230D"/>
    <w:rsid w:val="004224E5"/>
    <w:rsid w:val="00422615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612"/>
    <w:rsid w:val="00776A07"/>
    <w:rsid w:val="007775A0"/>
    <w:rsid w:val="00777B69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90000F"/>
    <w:rsid w:val="00900A46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43DE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4055"/>
    <w:rsid w:val="00BD45A9"/>
    <w:rsid w:val="00BD465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B0E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57147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93E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E7667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3B50"/>
    <w:rsid w:val="00FB6CC9"/>
    <w:rsid w:val="00FB77AD"/>
    <w:rsid w:val="00FC2C1B"/>
    <w:rsid w:val="00FC48D5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B79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rFonts w:ascii="Times New Roman" w:hAnsi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events/2019-01-25-160000-2019-01-26-010000/2019-student-learning-outcomes-slo-symposi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8-11-16-170000-2018-11-16-230000/2018-fall-curriculum-regional-meeting-nor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events/2018-11-01-150000-2018-11-03-210000/2018-fall-plenary-sess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ccc.org/events/2019-02-21-200000-2019-02-23-200000/2019-part-time-faculty-instit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3804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Microsoft Office User</cp:lastModifiedBy>
  <cp:revision>4</cp:revision>
  <cp:lastPrinted>2018-10-22T20:37:00Z</cp:lastPrinted>
  <dcterms:created xsi:type="dcterms:W3CDTF">2018-10-25T17:23:00Z</dcterms:created>
  <dcterms:modified xsi:type="dcterms:W3CDTF">2018-10-25T19:35:00Z</dcterms:modified>
  <cp:category/>
</cp:coreProperties>
</file>