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D3EC0" w14:textId="77777777" w:rsidR="00EF5CAF" w:rsidRPr="005C745B" w:rsidRDefault="00EF5CAF" w:rsidP="00EF5CAF">
      <w:pPr>
        <w:jc w:val="center"/>
        <w:rPr>
          <w:noProof/>
        </w:rPr>
      </w:pPr>
      <w:r w:rsidRPr="005C745B">
        <w:rPr>
          <w:noProof/>
        </w:rPr>
        <w:drawing>
          <wp:inline distT="0" distB="0" distL="0" distR="0" wp14:anchorId="4771B812" wp14:editId="70AF546A">
            <wp:extent cx="2717800" cy="1661168"/>
            <wp:effectExtent l="0" t="0" r="6350" b="0"/>
            <wp:docPr id="1" name="Picture 1" descr="Academic Senate for California Community Colle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ademic Senate for California Community Colleg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6718" cy="1666619"/>
                    </a:xfrm>
                    <a:prstGeom prst="rect">
                      <a:avLst/>
                    </a:prstGeom>
                  </pic:spPr>
                </pic:pic>
              </a:graphicData>
            </a:graphic>
          </wp:inline>
        </w:drawing>
      </w:r>
    </w:p>
    <w:p w14:paraId="7D3D3C84" w14:textId="77777777" w:rsidR="00EF5CAF" w:rsidRPr="005C745B" w:rsidRDefault="00EF5CAF" w:rsidP="00EF5CAF">
      <w:pPr>
        <w:pStyle w:val="Title"/>
        <w:jc w:val="center"/>
        <w:rPr>
          <w:sz w:val="40"/>
          <w:szCs w:val="40"/>
        </w:rPr>
      </w:pPr>
    </w:p>
    <w:p w14:paraId="31477C08" w14:textId="582E0AF2" w:rsidR="00EF5CAF" w:rsidRPr="005C745B" w:rsidRDefault="00EF5CAF" w:rsidP="00EF5CAF">
      <w:pPr>
        <w:pStyle w:val="Title"/>
        <w:jc w:val="center"/>
        <w:rPr>
          <w:sz w:val="40"/>
          <w:szCs w:val="40"/>
        </w:rPr>
      </w:pPr>
      <w:r>
        <w:rPr>
          <w:sz w:val="40"/>
          <w:szCs w:val="40"/>
        </w:rPr>
        <w:t xml:space="preserve">2023 Spring Plenary </w:t>
      </w:r>
      <w:r w:rsidRPr="005C745B">
        <w:rPr>
          <w:sz w:val="40"/>
          <w:szCs w:val="40"/>
        </w:rPr>
        <w:t>Session Resolutions</w:t>
      </w:r>
    </w:p>
    <w:p w14:paraId="1E6DFDEC" w14:textId="77777777" w:rsidR="00EF5CAF" w:rsidRPr="005C745B" w:rsidRDefault="00EF5CAF" w:rsidP="00EF5CAF">
      <w:pPr>
        <w:jc w:val="center"/>
      </w:pPr>
    </w:p>
    <w:p w14:paraId="7CB3175B" w14:textId="77777777" w:rsidR="00EF5CAF" w:rsidRPr="005C745B" w:rsidRDefault="00EF5CAF" w:rsidP="00EF5CAF">
      <w:pPr>
        <w:pStyle w:val="Title"/>
        <w:jc w:val="center"/>
        <w:rPr>
          <w:sz w:val="40"/>
          <w:szCs w:val="40"/>
        </w:rPr>
      </w:pPr>
      <w:r w:rsidRPr="005C745B">
        <w:rPr>
          <w:sz w:val="40"/>
          <w:szCs w:val="40"/>
        </w:rPr>
        <w:t>For Discussion at AREA MEETINGS</w:t>
      </w:r>
    </w:p>
    <w:p w14:paraId="7D93E8FA" w14:textId="75863424" w:rsidR="00EF5CAF" w:rsidRPr="005C745B" w:rsidRDefault="00EF5CAF" w:rsidP="00EF5CAF">
      <w:pPr>
        <w:pStyle w:val="Title"/>
        <w:jc w:val="center"/>
      </w:pPr>
      <w:r w:rsidRPr="194E0518">
        <w:rPr>
          <w:sz w:val="40"/>
          <w:szCs w:val="40"/>
        </w:rPr>
        <w:t>March 2</w:t>
      </w:r>
      <w:r w:rsidR="2B7D5A43" w:rsidRPr="194E0518">
        <w:rPr>
          <w:sz w:val="40"/>
          <w:szCs w:val="40"/>
        </w:rPr>
        <w:t>4</w:t>
      </w:r>
      <w:r w:rsidRPr="194E0518">
        <w:rPr>
          <w:sz w:val="40"/>
          <w:szCs w:val="40"/>
        </w:rPr>
        <w:t>/2</w:t>
      </w:r>
      <w:r w:rsidR="51F7204D" w:rsidRPr="194E0518">
        <w:rPr>
          <w:sz w:val="40"/>
          <w:szCs w:val="40"/>
        </w:rPr>
        <w:t>5</w:t>
      </w:r>
      <w:r w:rsidRPr="194E0518">
        <w:rPr>
          <w:sz w:val="40"/>
          <w:szCs w:val="40"/>
        </w:rPr>
        <w:t>, 2023</w:t>
      </w:r>
    </w:p>
    <w:p w14:paraId="2E5DC6D1" w14:textId="77777777" w:rsidR="00EF5CAF" w:rsidRPr="005C745B" w:rsidRDefault="00EF5CAF" w:rsidP="00EF5CAF"/>
    <w:p w14:paraId="5EA10D7A" w14:textId="77777777" w:rsidR="00EF5CAF" w:rsidRPr="005C745B" w:rsidRDefault="00EF5CAF" w:rsidP="00EF5CAF">
      <w:pPr>
        <w:rPr>
          <w:sz w:val="24"/>
          <w:szCs w:val="24"/>
        </w:rPr>
      </w:pPr>
    </w:p>
    <w:p w14:paraId="638EDB15" w14:textId="77777777" w:rsidR="00EF5CAF" w:rsidRPr="005C745B" w:rsidRDefault="00EF5CAF" w:rsidP="00EF5CAF">
      <w:pPr>
        <w:pStyle w:val="Subtitle"/>
        <w:spacing w:after="0"/>
        <w:jc w:val="center"/>
        <w:rPr>
          <w:rFonts w:asciiTheme="majorHAnsi" w:hAnsiTheme="majorHAnsi" w:cstheme="majorHAnsi"/>
          <w:color w:val="auto"/>
          <w:sz w:val="28"/>
          <w:szCs w:val="28"/>
        </w:rPr>
      </w:pPr>
      <w:r w:rsidRPr="005C745B">
        <w:rPr>
          <w:rFonts w:asciiTheme="majorHAnsi" w:hAnsiTheme="majorHAnsi" w:cstheme="majorHAnsi"/>
          <w:color w:val="auto"/>
          <w:sz w:val="28"/>
          <w:szCs w:val="28"/>
        </w:rPr>
        <w:t>Resolutions Committee</w:t>
      </w:r>
    </w:p>
    <w:p w14:paraId="7A77A5B1" w14:textId="77777777" w:rsidR="00EF5CAF" w:rsidRPr="005C745B" w:rsidRDefault="00EF5CAF" w:rsidP="00EF5CAF">
      <w:pPr>
        <w:spacing w:after="0"/>
        <w:jc w:val="center"/>
        <w:rPr>
          <w:rFonts w:ascii="Calibri Light" w:hAnsi="Calibri Light" w:cs="Calibri Light"/>
        </w:rPr>
      </w:pPr>
      <w:r w:rsidRPr="005C745B">
        <w:rPr>
          <w:rFonts w:ascii="Calibri Light" w:hAnsi="Calibri Light" w:cs="Calibri Light"/>
        </w:rPr>
        <w:t>Michelle Velasquez Bean, ASCCC Resolutions Chair</w:t>
      </w:r>
    </w:p>
    <w:p w14:paraId="5B1C7B2C" w14:textId="77777777" w:rsidR="00EF5CAF" w:rsidRPr="005C745B" w:rsidRDefault="00EF5CAF" w:rsidP="00EF5CAF">
      <w:pPr>
        <w:spacing w:after="0"/>
        <w:jc w:val="center"/>
        <w:rPr>
          <w:rFonts w:ascii="Calibri Light" w:hAnsi="Calibri Light" w:cs="Calibri Light"/>
        </w:rPr>
      </w:pPr>
      <w:r w:rsidRPr="005C745B">
        <w:rPr>
          <w:rFonts w:ascii="Calibri Light" w:hAnsi="Calibri Light" w:cs="Calibri Light"/>
        </w:rPr>
        <w:t xml:space="preserve">Juan </w:t>
      </w:r>
      <w:proofErr w:type="spellStart"/>
      <w:r w:rsidRPr="005C745B">
        <w:rPr>
          <w:rFonts w:ascii="Calibri Light" w:hAnsi="Calibri Light" w:cs="Calibri Light"/>
        </w:rPr>
        <w:t>Arzola</w:t>
      </w:r>
      <w:proofErr w:type="spellEnd"/>
      <w:r w:rsidRPr="005C745B">
        <w:rPr>
          <w:rFonts w:ascii="Calibri Light" w:hAnsi="Calibri Light" w:cs="Calibri Light"/>
        </w:rPr>
        <w:t>, ASCCC Resolutions Second Chair</w:t>
      </w:r>
    </w:p>
    <w:p w14:paraId="6EAE3B32" w14:textId="77777777" w:rsidR="00EF5CAF" w:rsidRPr="005C745B" w:rsidRDefault="00EF5CAF" w:rsidP="00EF5CAF">
      <w:pPr>
        <w:spacing w:after="0"/>
        <w:jc w:val="center"/>
        <w:rPr>
          <w:rFonts w:ascii="Calibri Light" w:hAnsi="Calibri Light" w:cs="Calibri Light"/>
        </w:rPr>
      </w:pPr>
      <w:r w:rsidRPr="005C745B">
        <w:rPr>
          <w:rFonts w:ascii="Calibri Light" w:hAnsi="Calibri Light" w:cs="Calibri Light"/>
        </w:rPr>
        <w:t>Kim Dozier, College of the Desert, Area D</w:t>
      </w:r>
    </w:p>
    <w:p w14:paraId="2D21E2CE" w14:textId="77777777" w:rsidR="00EF5CAF" w:rsidRPr="005C745B" w:rsidRDefault="00EF5CAF" w:rsidP="00EF5CAF">
      <w:pPr>
        <w:spacing w:after="0"/>
        <w:jc w:val="center"/>
        <w:rPr>
          <w:rFonts w:ascii="Calibri Light" w:hAnsi="Calibri Light" w:cs="Calibri Light"/>
        </w:rPr>
      </w:pPr>
      <w:r w:rsidRPr="005C745B">
        <w:rPr>
          <w:rFonts w:ascii="Calibri Light" w:hAnsi="Calibri Light" w:cs="Calibri Light"/>
        </w:rPr>
        <w:t>Peter Fulk</w:t>
      </w:r>
      <w:r>
        <w:rPr>
          <w:rFonts w:ascii="Calibri Light" w:hAnsi="Calibri Light" w:cs="Calibri Light"/>
        </w:rPr>
        <w:t>s</w:t>
      </w:r>
      <w:r w:rsidRPr="005C745B">
        <w:rPr>
          <w:rFonts w:ascii="Calibri Light" w:hAnsi="Calibri Light" w:cs="Calibri Light"/>
        </w:rPr>
        <w:t xml:space="preserve">, Cerro </w:t>
      </w:r>
      <w:proofErr w:type="spellStart"/>
      <w:r w:rsidRPr="005C745B">
        <w:rPr>
          <w:rFonts w:ascii="Calibri Light" w:hAnsi="Calibri Light" w:cs="Calibri Light"/>
        </w:rPr>
        <w:t>Coso</w:t>
      </w:r>
      <w:proofErr w:type="spellEnd"/>
      <w:r w:rsidRPr="005C745B">
        <w:rPr>
          <w:rFonts w:ascii="Calibri Light" w:hAnsi="Calibri Light" w:cs="Calibri Light"/>
        </w:rPr>
        <w:t xml:space="preserve"> College, Area A</w:t>
      </w:r>
    </w:p>
    <w:p w14:paraId="0806B335" w14:textId="77777777" w:rsidR="00EF5CAF" w:rsidRPr="005C745B" w:rsidRDefault="00EF5CAF" w:rsidP="00EF5CAF">
      <w:pPr>
        <w:spacing w:after="0"/>
        <w:jc w:val="center"/>
        <w:rPr>
          <w:rFonts w:ascii="Calibri Light" w:hAnsi="Calibri Light" w:cs="Calibri Light"/>
        </w:rPr>
      </w:pPr>
      <w:r w:rsidRPr="005C745B">
        <w:rPr>
          <w:rFonts w:ascii="Calibri Light" w:hAnsi="Calibri Light" w:cs="Calibri Light"/>
        </w:rPr>
        <w:t xml:space="preserve">Mark Edward </w:t>
      </w:r>
      <w:proofErr w:type="spellStart"/>
      <w:r w:rsidRPr="005C745B">
        <w:rPr>
          <w:rFonts w:ascii="Calibri Light" w:hAnsi="Calibri Light" w:cs="Calibri Light"/>
        </w:rPr>
        <w:t>Osea</w:t>
      </w:r>
      <w:proofErr w:type="spellEnd"/>
      <w:r w:rsidRPr="005C745B">
        <w:rPr>
          <w:rFonts w:ascii="Calibri Light" w:hAnsi="Calibri Light" w:cs="Calibri Light"/>
        </w:rPr>
        <w:t>, Mendocino College, Area B</w:t>
      </w:r>
    </w:p>
    <w:p w14:paraId="0415BED7" w14:textId="77777777" w:rsidR="00EF5CAF" w:rsidRPr="005C745B" w:rsidRDefault="00EF5CAF" w:rsidP="00EF5CAF">
      <w:pPr>
        <w:spacing w:after="0"/>
        <w:jc w:val="center"/>
        <w:rPr>
          <w:rFonts w:ascii="Calibri Light" w:hAnsi="Calibri Light" w:cs="Calibri Light"/>
        </w:rPr>
      </w:pPr>
      <w:r w:rsidRPr="005C745B">
        <w:rPr>
          <w:rFonts w:ascii="Calibri Light" w:hAnsi="Calibri Light" w:cs="Calibri Light"/>
        </w:rPr>
        <w:t xml:space="preserve">Michael Stewart, </w:t>
      </w:r>
      <w:proofErr w:type="spellStart"/>
      <w:r w:rsidRPr="005C745B">
        <w:rPr>
          <w:rFonts w:ascii="Calibri Light" w:hAnsi="Calibri Light" w:cs="Calibri Light"/>
        </w:rPr>
        <w:t>Calbright</w:t>
      </w:r>
      <w:proofErr w:type="spellEnd"/>
      <w:r w:rsidRPr="005C745B">
        <w:rPr>
          <w:rFonts w:ascii="Calibri Light" w:hAnsi="Calibri Light" w:cs="Calibri Light"/>
        </w:rPr>
        <w:t xml:space="preserve"> College, Area A</w:t>
      </w:r>
    </w:p>
    <w:p w14:paraId="5146F5A0" w14:textId="77777777" w:rsidR="00EF5CAF" w:rsidRPr="005C745B" w:rsidRDefault="00EF5CAF" w:rsidP="00EF5CAF">
      <w:pPr>
        <w:spacing w:after="0"/>
        <w:jc w:val="center"/>
        <w:rPr>
          <w:sz w:val="24"/>
          <w:szCs w:val="24"/>
        </w:rPr>
      </w:pPr>
      <w:r w:rsidRPr="005C745B">
        <w:rPr>
          <w:sz w:val="24"/>
          <w:szCs w:val="24"/>
        </w:rPr>
        <w:t xml:space="preserve"> </w:t>
      </w:r>
    </w:p>
    <w:p w14:paraId="2A49EBD2" w14:textId="77777777" w:rsidR="00EF5CAF" w:rsidRPr="005C745B" w:rsidRDefault="00EF5CAF" w:rsidP="00EF5CAF"/>
    <w:p w14:paraId="70E891F5" w14:textId="77777777" w:rsidR="00EF5CAF" w:rsidRPr="005C745B" w:rsidRDefault="00EF5CAF" w:rsidP="00EF5CAF"/>
    <w:p w14:paraId="25344676" w14:textId="77777777" w:rsidR="00EF5CAF" w:rsidRPr="005C745B" w:rsidRDefault="00EF5CAF" w:rsidP="00EF5CAF"/>
    <w:p w14:paraId="617FEA6B" w14:textId="77777777" w:rsidR="00EF5CAF" w:rsidRPr="005C745B" w:rsidRDefault="00EF5CAF" w:rsidP="00EF5CAF"/>
    <w:p w14:paraId="0350E4A4" w14:textId="77777777" w:rsidR="00EF5CAF" w:rsidRPr="005C745B" w:rsidRDefault="00EF5CAF" w:rsidP="00EF5CAF"/>
    <w:p w14:paraId="51600BEB" w14:textId="6E0FA843" w:rsidR="00EF5CAF" w:rsidRPr="005C745B" w:rsidRDefault="00EF5CAF" w:rsidP="00EF5CAF">
      <w:pPr>
        <w:jc w:val="center"/>
        <w:rPr>
          <w:rFonts w:ascii="Calibri Light" w:hAnsi="Calibri Light" w:cs="Calibri Light"/>
          <w:iCs/>
        </w:rPr>
      </w:pPr>
      <w:r w:rsidRPr="005C745B">
        <w:rPr>
          <w:rFonts w:ascii="Calibri Light" w:hAnsi="Calibri Light" w:cs="Calibri Light"/>
          <w:iCs/>
        </w:rPr>
        <w:t xml:space="preserve">Disclaimer: The enclosed resolutions do not reflect the position of the Academic Senate for California Community Colleges, its Executive Committee, or standing committees. They are presented for the purpose of discussion by the field and are to be debated and voted on by academic senate delegates at the Academic Senate Spring Plenary Session held on </w:t>
      </w:r>
      <w:r>
        <w:rPr>
          <w:rFonts w:ascii="Calibri Light" w:hAnsi="Calibri Light" w:cs="Calibri Light"/>
          <w:iCs/>
        </w:rPr>
        <w:t>April 22</w:t>
      </w:r>
      <w:r w:rsidRPr="005C745B">
        <w:rPr>
          <w:rFonts w:ascii="Calibri Light" w:hAnsi="Calibri Light" w:cs="Calibri Light"/>
          <w:iCs/>
        </w:rPr>
        <w:t>, 202</w:t>
      </w:r>
      <w:r>
        <w:rPr>
          <w:rFonts w:ascii="Calibri Light" w:hAnsi="Calibri Light" w:cs="Calibri Light"/>
          <w:iCs/>
        </w:rPr>
        <w:t>3</w:t>
      </w:r>
      <w:r w:rsidRPr="005C745B">
        <w:rPr>
          <w:rFonts w:ascii="Calibri Light" w:hAnsi="Calibri Light" w:cs="Calibri Light"/>
          <w:iCs/>
        </w:rPr>
        <w:t xml:space="preserve">, in </w:t>
      </w:r>
      <w:r>
        <w:rPr>
          <w:rFonts w:ascii="Calibri Light" w:hAnsi="Calibri Light" w:cs="Calibri Light"/>
          <w:iCs/>
        </w:rPr>
        <w:t>Anaheim</w:t>
      </w:r>
      <w:r w:rsidRPr="005C745B">
        <w:rPr>
          <w:rFonts w:ascii="Calibri Light" w:hAnsi="Calibri Light" w:cs="Calibri Light"/>
          <w:iCs/>
        </w:rPr>
        <w:t>, CA.</w:t>
      </w:r>
    </w:p>
    <w:p w14:paraId="6CB613E2" w14:textId="77777777" w:rsidR="00EF5CAF" w:rsidRPr="005C745B" w:rsidRDefault="00EF5CAF" w:rsidP="00EF5CAF">
      <w:pPr>
        <w:sectPr w:rsidR="00EF5CAF" w:rsidRPr="005C745B" w:rsidSect="00CD2A50">
          <w:footerReference w:type="default" r:id="rId12"/>
          <w:footerReference w:type="first" r:id="rId13"/>
          <w:pgSz w:w="12240" w:h="15840"/>
          <w:pgMar w:top="1440" w:right="1627" w:bottom="1440" w:left="1267" w:header="720" w:footer="720" w:gutter="0"/>
          <w:pgNumType w:start="1"/>
          <w:cols w:space="720"/>
          <w:titlePg/>
          <w:docGrid w:linePitch="360"/>
        </w:sectPr>
      </w:pPr>
      <w:r w:rsidRPr="005C745B">
        <w:br w:type="page"/>
      </w:r>
    </w:p>
    <w:p w14:paraId="2025A9F5" w14:textId="77777777" w:rsidR="00EF5CAF" w:rsidRPr="005C745B" w:rsidRDefault="00EF5CAF" w:rsidP="00EF5CAF">
      <w:pPr>
        <w:pStyle w:val="Heading1"/>
        <w:spacing w:after="240"/>
        <w:jc w:val="center"/>
        <w:rPr>
          <w:rFonts w:eastAsia="Times New Roman"/>
          <w:color w:val="auto"/>
        </w:rPr>
      </w:pPr>
      <w:bookmarkStart w:id="0" w:name="_Toc115935474"/>
      <w:bookmarkStart w:id="1" w:name="_Toc129872493"/>
      <w:r w:rsidRPr="194E0518">
        <w:rPr>
          <w:rFonts w:eastAsia="Times New Roman"/>
          <w:color w:val="auto"/>
        </w:rPr>
        <w:lastRenderedPageBreak/>
        <w:t>PLENARY RESOLUTIONS PROCESS</w:t>
      </w:r>
      <w:bookmarkEnd w:id="0"/>
      <w:bookmarkEnd w:id="1"/>
    </w:p>
    <w:p w14:paraId="5FF5E25C" w14:textId="77777777" w:rsidR="00EF5CAF" w:rsidRPr="005C745B" w:rsidRDefault="00EF5CAF" w:rsidP="00EF5CAF">
      <w:pPr>
        <w:ind w:left="120" w:right="-14"/>
        <w:rPr>
          <w:rFonts w:eastAsia="Times New Roman" w:cstheme="minorHAnsi"/>
          <w:sz w:val="24"/>
          <w:szCs w:val="24"/>
        </w:rPr>
      </w:pPr>
      <w:r w:rsidRPr="005C745B">
        <w:rPr>
          <w:rFonts w:eastAsia="Times New Roman" w:cstheme="minorHAnsi"/>
          <w:sz w:val="24"/>
          <w:szCs w:val="24"/>
        </w:rPr>
        <w:t>In order to ensure that deliberations are organized, effective, and meaningful, the Academic Senate for California Community Colleges uses the following resolution procedure:</w:t>
      </w:r>
    </w:p>
    <w:p w14:paraId="76F9D2C3" w14:textId="77777777" w:rsidR="00EF5CAF" w:rsidRPr="005C745B" w:rsidRDefault="00EF5CAF" w:rsidP="00EF5CAF">
      <w:pPr>
        <w:numPr>
          <w:ilvl w:val="0"/>
          <w:numId w:val="1"/>
        </w:numPr>
        <w:spacing w:after="0" w:line="240" w:lineRule="auto"/>
        <w:ind w:left="630" w:right="-14" w:hanging="180"/>
        <w:textAlignment w:val="baseline"/>
        <w:rPr>
          <w:rFonts w:eastAsia="Times New Roman" w:cstheme="minorHAnsi"/>
          <w:sz w:val="24"/>
          <w:szCs w:val="24"/>
        </w:rPr>
      </w:pPr>
      <w:r w:rsidRPr="005C745B">
        <w:rPr>
          <w:rFonts w:eastAsia="Times New Roman" w:cstheme="minorHAnsi"/>
          <w:sz w:val="24"/>
          <w:szCs w:val="24"/>
        </w:rPr>
        <w:t>Pre-session resolutions are developed by the Executive Committee (through its committees) and submitted to the pre-session Area meetings for review.</w:t>
      </w:r>
    </w:p>
    <w:p w14:paraId="69177FE5" w14:textId="77777777" w:rsidR="00EF5CAF" w:rsidRPr="005C745B" w:rsidRDefault="00EF5CAF" w:rsidP="00EF5CAF">
      <w:pPr>
        <w:numPr>
          <w:ilvl w:val="0"/>
          <w:numId w:val="1"/>
        </w:numPr>
        <w:spacing w:after="0" w:line="240" w:lineRule="auto"/>
        <w:ind w:left="630" w:right="-14" w:hanging="180"/>
        <w:textAlignment w:val="baseline"/>
        <w:rPr>
          <w:rFonts w:eastAsia="Times New Roman" w:cstheme="minorHAnsi"/>
          <w:sz w:val="24"/>
          <w:szCs w:val="24"/>
        </w:rPr>
      </w:pPr>
      <w:r w:rsidRPr="005C745B">
        <w:rPr>
          <w:rFonts w:eastAsia="Times New Roman" w:cstheme="minorHAnsi"/>
          <w:sz w:val="24"/>
          <w:szCs w:val="24"/>
        </w:rPr>
        <w:t>Amendments and new pre-session resolutions are generated in the Area meetings.</w:t>
      </w:r>
    </w:p>
    <w:p w14:paraId="4592542D" w14:textId="77777777" w:rsidR="00EF5CAF" w:rsidRPr="005C745B" w:rsidRDefault="00EF5CAF" w:rsidP="00EF5CAF">
      <w:pPr>
        <w:numPr>
          <w:ilvl w:val="0"/>
          <w:numId w:val="1"/>
        </w:numPr>
        <w:spacing w:after="0" w:line="240" w:lineRule="auto"/>
        <w:ind w:left="630" w:right="-14" w:hanging="180"/>
        <w:textAlignment w:val="baseline"/>
        <w:rPr>
          <w:rFonts w:eastAsia="Times New Roman" w:cstheme="minorHAnsi"/>
          <w:sz w:val="24"/>
          <w:szCs w:val="24"/>
        </w:rPr>
      </w:pPr>
      <w:r w:rsidRPr="005C745B">
        <w:rPr>
          <w:rFonts w:eastAsia="Times New Roman" w:cstheme="minorHAnsi"/>
          <w:sz w:val="24"/>
          <w:szCs w:val="24"/>
        </w:rPr>
        <w:t>The Resolutions Committee meets to review all pre-session resolutions and combine, reword, append, or render moot these resolutions as necessary.</w:t>
      </w:r>
    </w:p>
    <w:p w14:paraId="19B40FFA" w14:textId="77777777" w:rsidR="00EF5CAF" w:rsidRPr="005C745B" w:rsidRDefault="00EF5CAF" w:rsidP="00EF5CAF">
      <w:pPr>
        <w:numPr>
          <w:ilvl w:val="0"/>
          <w:numId w:val="1"/>
        </w:numPr>
        <w:spacing w:after="0" w:line="240" w:lineRule="auto"/>
        <w:ind w:left="630" w:right="-14" w:hanging="180"/>
        <w:textAlignment w:val="baseline"/>
        <w:rPr>
          <w:rFonts w:eastAsia="Times New Roman" w:cstheme="minorHAnsi"/>
          <w:sz w:val="24"/>
          <w:szCs w:val="24"/>
        </w:rPr>
      </w:pPr>
      <w:r w:rsidRPr="005C745B">
        <w:rPr>
          <w:rFonts w:eastAsia="Times New Roman" w:cstheme="minorHAnsi"/>
          <w:sz w:val="24"/>
          <w:szCs w:val="24"/>
        </w:rPr>
        <w:t xml:space="preserve">Resolutions and amendments must be submitted to the Resolutions Committee using the online form before the posted deadlines each day. </w:t>
      </w:r>
    </w:p>
    <w:p w14:paraId="2BD5A431" w14:textId="77777777" w:rsidR="00EF5CAF" w:rsidRPr="005C745B" w:rsidRDefault="00EF5CAF" w:rsidP="00EF5CAF">
      <w:pPr>
        <w:numPr>
          <w:ilvl w:val="0"/>
          <w:numId w:val="1"/>
        </w:numPr>
        <w:spacing w:after="0" w:line="240" w:lineRule="auto"/>
        <w:ind w:left="630" w:right="-14" w:hanging="180"/>
        <w:textAlignment w:val="baseline"/>
        <w:rPr>
          <w:rFonts w:eastAsia="Times New Roman" w:cstheme="minorHAnsi"/>
          <w:sz w:val="24"/>
          <w:szCs w:val="24"/>
        </w:rPr>
      </w:pPr>
      <w:r w:rsidRPr="005C745B">
        <w:rPr>
          <w:rFonts w:eastAsia="Times New Roman" w:cstheme="minorHAnsi"/>
          <w:sz w:val="24"/>
          <w:szCs w:val="24"/>
        </w:rPr>
        <w:t>New resolutions submitted on the second day of the plenary session are held to the next session unless the resolution is declared urgent by the Executive Committee.</w:t>
      </w:r>
    </w:p>
    <w:p w14:paraId="3E08B262" w14:textId="77777777" w:rsidR="00EF5CAF" w:rsidRPr="005C745B" w:rsidRDefault="00EF5CAF" w:rsidP="00EF5CAF">
      <w:pPr>
        <w:numPr>
          <w:ilvl w:val="0"/>
          <w:numId w:val="1"/>
        </w:numPr>
        <w:spacing w:after="0" w:line="240" w:lineRule="auto"/>
        <w:ind w:left="630" w:right="-14" w:hanging="180"/>
        <w:textAlignment w:val="baseline"/>
        <w:rPr>
          <w:rFonts w:eastAsia="Times New Roman" w:cstheme="minorHAnsi"/>
          <w:sz w:val="24"/>
          <w:szCs w:val="24"/>
        </w:rPr>
      </w:pPr>
      <w:r w:rsidRPr="005C745B">
        <w:rPr>
          <w:rFonts w:eastAsia="Times New Roman" w:cstheme="minorHAnsi"/>
          <w:sz w:val="24"/>
          <w:szCs w:val="24"/>
        </w:rPr>
        <w:t>The resolutions are debated and voted upon in the general sessions on the last day of the plenary session by the delegates.</w:t>
      </w:r>
    </w:p>
    <w:p w14:paraId="6EB0377C" w14:textId="77777777" w:rsidR="00EF5CAF" w:rsidRPr="005C745B" w:rsidRDefault="00EF5CAF" w:rsidP="00EF5CAF">
      <w:pPr>
        <w:numPr>
          <w:ilvl w:val="0"/>
          <w:numId w:val="1"/>
        </w:numPr>
        <w:spacing w:after="0" w:line="240" w:lineRule="auto"/>
        <w:ind w:left="630" w:right="-14" w:hanging="180"/>
        <w:textAlignment w:val="baseline"/>
        <w:rPr>
          <w:rFonts w:eastAsia="Times New Roman" w:cstheme="minorHAnsi"/>
          <w:sz w:val="24"/>
          <w:szCs w:val="24"/>
        </w:rPr>
      </w:pPr>
      <w:r w:rsidRPr="005C745B">
        <w:rPr>
          <w:rFonts w:eastAsia="Times New Roman" w:cstheme="minorHAnsi"/>
          <w:sz w:val="24"/>
          <w:szCs w:val="24"/>
        </w:rPr>
        <w:t xml:space="preserve">All resources and appendices are available on the </w:t>
      </w:r>
      <w:hyperlink r:id="rId14" w:history="1">
        <w:r w:rsidRPr="00F915AC">
          <w:rPr>
            <w:rStyle w:val="Hyperlink"/>
            <w:rFonts w:eastAsia="Times New Roman" w:cstheme="minorHAnsi"/>
            <w:sz w:val="24"/>
            <w:szCs w:val="24"/>
          </w:rPr>
          <w:t>ASCCC website</w:t>
        </w:r>
      </w:hyperlink>
      <w:r w:rsidRPr="005C745B">
        <w:rPr>
          <w:rFonts w:eastAsia="Times New Roman" w:cstheme="minorHAnsi"/>
          <w:sz w:val="24"/>
          <w:szCs w:val="24"/>
        </w:rPr>
        <w:t>.</w:t>
      </w:r>
    </w:p>
    <w:p w14:paraId="794D80BC" w14:textId="77777777" w:rsidR="00EF5CAF" w:rsidRPr="005C745B" w:rsidRDefault="00EF5CAF" w:rsidP="00EF5CAF">
      <w:pPr>
        <w:spacing w:after="0"/>
        <w:ind w:right="-14"/>
        <w:rPr>
          <w:rFonts w:eastAsia="Times New Roman" w:cstheme="minorHAnsi"/>
          <w:sz w:val="24"/>
          <w:szCs w:val="24"/>
        </w:rPr>
      </w:pPr>
    </w:p>
    <w:p w14:paraId="2D50B3B2" w14:textId="77777777" w:rsidR="00EF5CAF" w:rsidRPr="005C745B" w:rsidRDefault="00EF5CAF" w:rsidP="00EF5CAF">
      <w:pPr>
        <w:ind w:left="119" w:right="-14"/>
        <w:rPr>
          <w:rFonts w:eastAsia="Times New Roman" w:cstheme="minorHAnsi"/>
          <w:sz w:val="24"/>
          <w:szCs w:val="24"/>
        </w:rPr>
      </w:pPr>
      <w:r w:rsidRPr="005C745B">
        <w:rPr>
          <w:rFonts w:eastAsia="Times New Roman" w:cstheme="minorHAnsi"/>
          <w:sz w:val="24"/>
          <w:szCs w:val="24"/>
        </w:rPr>
        <w:t>Prior to plenary session, it is each attendee’s responsibility to read the following documents:</w:t>
      </w:r>
    </w:p>
    <w:p w14:paraId="0C0A6FD6" w14:textId="77777777" w:rsidR="00EF5CAF" w:rsidRPr="005C745B" w:rsidRDefault="00EF5CAF" w:rsidP="00EF5CAF">
      <w:pPr>
        <w:numPr>
          <w:ilvl w:val="0"/>
          <w:numId w:val="2"/>
        </w:numPr>
        <w:spacing w:after="0" w:line="240" w:lineRule="auto"/>
        <w:ind w:left="630" w:right="-14" w:hanging="180"/>
        <w:textAlignment w:val="baseline"/>
        <w:rPr>
          <w:rFonts w:eastAsia="Times New Roman" w:cstheme="minorHAnsi"/>
          <w:sz w:val="24"/>
          <w:szCs w:val="24"/>
        </w:rPr>
      </w:pPr>
      <w:r w:rsidRPr="005C745B">
        <w:rPr>
          <w:rFonts w:eastAsia="Times New Roman" w:cstheme="minorHAnsi"/>
          <w:sz w:val="24"/>
          <w:szCs w:val="24"/>
        </w:rPr>
        <w:t>Senate Delegate Roles and Responsibilities (</w:t>
      </w:r>
      <w:r>
        <w:rPr>
          <w:rFonts w:eastAsia="Times New Roman" w:cstheme="minorHAnsi"/>
          <w:sz w:val="24"/>
          <w:szCs w:val="24"/>
        </w:rPr>
        <w:t>found in</w:t>
      </w:r>
      <w:r w:rsidRPr="005C745B">
        <w:rPr>
          <w:rFonts w:eastAsia="Times New Roman" w:cstheme="minorHAnsi"/>
          <w:sz w:val="24"/>
          <w:szCs w:val="24"/>
        </w:rPr>
        <w:t xml:space="preserve"> </w:t>
      </w:r>
      <w:hyperlink r:id="rId15" w:history="1">
        <w:r w:rsidRPr="00477521">
          <w:rPr>
            <w:rStyle w:val="Hyperlink"/>
            <w:rFonts w:eastAsia="Times New Roman" w:cstheme="minorHAnsi"/>
            <w:i/>
            <w:iCs/>
            <w:sz w:val="24"/>
            <w:szCs w:val="24"/>
          </w:rPr>
          <w:t>Local Senates Handbook</w:t>
        </w:r>
      </w:hyperlink>
      <w:r w:rsidRPr="005C745B">
        <w:rPr>
          <w:rFonts w:eastAsia="Times New Roman" w:cstheme="minorHAnsi"/>
          <w:sz w:val="24"/>
          <w:szCs w:val="24"/>
        </w:rPr>
        <w:t>)</w:t>
      </w:r>
    </w:p>
    <w:p w14:paraId="077112C0" w14:textId="77777777" w:rsidR="00EF5CAF" w:rsidRDefault="00EF5CAF" w:rsidP="00EF5CAF">
      <w:pPr>
        <w:numPr>
          <w:ilvl w:val="0"/>
          <w:numId w:val="2"/>
        </w:numPr>
        <w:spacing w:after="0" w:line="240" w:lineRule="auto"/>
        <w:ind w:left="630" w:right="-14" w:hanging="180"/>
        <w:textAlignment w:val="baseline"/>
        <w:rPr>
          <w:rFonts w:eastAsia="Times New Roman" w:cstheme="minorHAnsi"/>
          <w:sz w:val="24"/>
          <w:szCs w:val="24"/>
          <w:u w:val="single"/>
        </w:rPr>
      </w:pPr>
      <w:r w:rsidRPr="005C745B">
        <w:rPr>
          <w:rFonts w:eastAsia="Times New Roman" w:cstheme="minorHAnsi"/>
          <w:sz w:val="24"/>
          <w:szCs w:val="24"/>
        </w:rPr>
        <w:t xml:space="preserve">Resolution Procedures (Part II in </w:t>
      </w:r>
      <w:hyperlink r:id="rId16" w:history="1">
        <w:r w:rsidRPr="005E6652">
          <w:rPr>
            <w:rStyle w:val="Hyperlink"/>
            <w:rFonts w:eastAsia="Times New Roman" w:cstheme="minorHAnsi"/>
            <w:i/>
            <w:iCs/>
            <w:sz w:val="24"/>
            <w:szCs w:val="24"/>
          </w:rPr>
          <w:t>Resolutions Handbook</w:t>
        </w:r>
      </w:hyperlink>
      <w:r w:rsidRPr="001E446E">
        <w:rPr>
          <w:rFonts w:eastAsia="Times New Roman" w:cstheme="minorHAnsi"/>
          <w:sz w:val="24"/>
          <w:szCs w:val="24"/>
          <w:u w:val="single"/>
        </w:rPr>
        <w:t>)</w:t>
      </w:r>
    </w:p>
    <w:p w14:paraId="17E91776" w14:textId="77777777" w:rsidR="00EF5CAF" w:rsidRPr="00493065" w:rsidRDefault="00EF5CAF" w:rsidP="00EF5CAF">
      <w:pPr>
        <w:numPr>
          <w:ilvl w:val="0"/>
          <w:numId w:val="2"/>
        </w:numPr>
        <w:spacing w:after="0" w:line="240" w:lineRule="auto"/>
        <w:ind w:left="630" w:right="-14" w:hanging="180"/>
        <w:textAlignment w:val="baseline"/>
        <w:rPr>
          <w:rFonts w:eastAsia="Times New Roman" w:cstheme="minorHAnsi"/>
          <w:sz w:val="24"/>
          <w:szCs w:val="24"/>
          <w:u w:val="single"/>
        </w:rPr>
      </w:pPr>
      <w:r w:rsidRPr="00493065">
        <w:rPr>
          <w:rFonts w:eastAsia="Times New Roman" w:cstheme="minorHAnsi"/>
          <w:sz w:val="24"/>
          <w:szCs w:val="24"/>
        </w:rPr>
        <w:t xml:space="preserve">Resolution Writing and General Advice (Part III in </w:t>
      </w:r>
      <w:hyperlink r:id="rId17" w:history="1">
        <w:r w:rsidRPr="005E6652">
          <w:rPr>
            <w:rStyle w:val="Hyperlink"/>
            <w:rFonts w:eastAsia="Times New Roman" w:cstheme="minorHAnsi"/>
            <w:i/>
            <w:iCs/>
            <w:sz w:val="24"/>
            <w:szCs w:val="24"/>
          </w:rPr>
          <w:t>Resolutions Handbook</w:t>
        </w:r>
      </w:hyperlink>
      <w:r w:rsidRPr="00493065">
        <w:rPr>
          <w:rFonts w:eastAsia="Times New Roman" w:cstheme="minorHAnsi"/>
          <w:sz w:val="24"/>
          <w:szCs w:val="24"/>
        </w:rPr>
        <w:t>)</w:t>
      </w:r>
    </w:p>
    <w:p w14:paraId="6435B6D3" w14:textId="77777777" w:rsidR="00EF5CAF" w:rsidRPr="005C745B" w:rsidRDefault="00EF5CAF" w:rsidP="00EF5CAF">
      <w:pPr>
        <w:spacing w:after="0"/>
        <w:ind w:right="-14"/>
        <w:textAlignment w:val="baseline"/>
        <w:rPr>
          <w:rFonts w:eastAsia="Times New Roman" w:cstheme="minorHAnsi"/>
          <w:sz w:val="24"/>
          <w:szCs w:val="24"/>
        </w:rPr>
      </w:pPr>
    </w:p>
    <w:p w14:paraId="7BB395E3" w14:textId="77777777" w:rsidR="00EF5CAF" w:rsidRPr="005C745B" w:rsidRDefault="00EF5CAF" w:rsidP="00EF5CAF">
      <w:pPr>
        <w:rPr>
          <w:rFonts w:eastAsia="Times New Roman" w:cstheme="minorHAnsi"/>
          <w:sz w:val="24"/>
          <w:szCs w:val="24"/>
        </w:rPr>
      </w:pPr>
      <w:r w:rsidRPr="005C745B">
        <w:rPr>
          <w:rFonts w:eastAsia="Times New Roman" w:cstheme="minorHAnsi"/>
          <w:sz w:val="24"/>
          <w:szCs w:val="24"/>
        </w:rPr>
        <w:br w:type="page"/>
      </w:r>
    </w:p>
    <w:p w14:paraId="338A327B" w14:textId="64196129" w:rsidR="00EF5CAF" w:rsidRDefault="00EF5CAF" w:rsidP="00664351">
      <w:pPr>
        <w:pStyle w:val="Heading1"/>
        <w:jc w:val="center"/>
        <w:rPr>
          <w:rFonts w:eastAsia="Times New Roman"/>
          <w:color w:val="auto"/>
        </w:rPr>
      </w:pPr>
      <w:bookmarkStart w:id="2" w:name="_Toc115935475"/>
      <w:bookmarkStart w:id="3" w:name="_Toc129872494"/>
      <w:r w:rsidRPr="194E0518">
        <w:rPr>
          <w:rFonts w:eastAsia="Times New Roman"/>
          <w:color w:val="auto"/>
        </w:rPr>
        <w:lastRenderedPageBreak/>
        <w:t>CONSENT CALENDAR</w:t>
      </w:r>
      <w:bookmarkEnd w:id="2"/>
      <w:bookmarkEnd w:id="3"/>
    </w:p>
    <w:p w14:paraId="65BEDA2E" w14:textId="43730628" w:rsidR="00EF5CAF" w:rsidRDefault="00EF5CAF" w:rsidP="00B74218">
      <w:pPr>
        <w:spacing w:before="120" w:after="0" w:line="240" w:lineRule="auto"/>
        <w:textAlignment w:val="baseline"/>
        <w:rPr>
          <w:rFonts w:eastAsia="Times New Roman" w:cstheme="minorHAnsi"/>
          <w:sz w:val="24"/>
          <w:szCs w:val="24"/>
        </w:rPr>
      </w:pPr>
      <w:r w:rsidRPr="005C745B">
        <w:rPr>
          <w:rFonts w:eastAsia="Times New Roman" w:cstheme="minorHAnsi"/>
          <w:sz w:val="24"/>
          <w:szCs w:val="24"/>
        </w:rPr>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2EBFF8BC" w14:textId="77777777" w:rsidR="00BF104E" w:rsidRPr="00664351" w:rsidRDefault="00BF104E" w:rsidP="00EF5CAF">
      <w:pPr>
        <w:spacing w:after="0"/>
        <w:textAlignment w:val="baseline"/>
        <w:rPr>
          <w:rFonts w:eastAsia="Times New Roman" w:cstheme="minorHAnsi"/>
          <w:sz w:val="12"/>
          <w:szCs w:val="12"/>
        </w:rPr>
      </w:pPr>
    </w:p>
    <w:p w14:paraId="65C4F664" w14:textId="77777777" w:rsidR="00EF5CAF" w:rsidRPr="005C745B" w:rsidRDefault="00EF5CAF" w:rsidP="00EF5CAF">
      <w:pPr>
        <w:spacing w:after="0"/>
        <w:textAlignment w:val="baseline"/>
        <w:rPr>
          <w:rFonts w:eastAsia="Times New Roman" w:cstheme="minorHAnsi"/>
          <w:sz w:val="24"/>
          <w:szCs w:val="24"/>
        </w:rPr>
      </w:pPr>
      <w:r w:rsidRPr="005C745B">
        <w:rPr>
          <w:rFonts w:eastAsia="Times New Roman" w:cstheme="minorHAnsi"/>
          <w:sz w:val="24"/>
          <w:szCs w:val="24"/>
        </w:rPr>
        <w:t>To remove a resolution from the Consent Calendar, please see the Consent Calendar section of the Resolutions Procedures for the plenary session.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p>
    <w:p w14:paraId="502D58CE" w14:textId="77777777" w:rsidR="00EF5CAF" w:rsidRPr="00664351" w:rsidRDefault="00EF5CAF" w:rsidP="00EF5CAF">
      <w:pPr>
        <w:spacing w:after="0"/>
        <w:textAlignment w:val="baseline"/>
        <w:rPr>
          <w:rFonts w:eastAsia="Times New Roman" w:cstheme="minorHAnsi"/>
          <w:sz w:val="12"/>
          <w:szCs w:val="12"/>
        </w:rPr>
      </w:pPr>
    </w:p>
    <w:p w14:paraId="76B4C80D" w14:textId="77777777" w:rsidR="00EF5CAF" w:rsidRPr="005C745B" w:rsidRDefault="00EF5CAF" w:rsidP="00EF5CAF">
      <w:pPr>
        <w:textAlignment w:val="baseline"/>
        <w:rPr>
          <w:rFonts w:eastAsia="Times New Roman" w:cstheme="minorHAnsi"/>
          <w:sz w:val="24"/>
          <w:szCs w:val="24"/>
        </w:rPr>
      </w:pPr>
      <w:r w:rsidRPr="005C745B">
        <w:rPr>
          <w:rFonts w:eastAsia="Times New Roman" w:cstheme="minorHAnsi"/>
          <w:sz w:val="24"/>
          <w:szCs w:val="24"/>
        </w:rPr>
        <w:t>The following legend has been used to identify consent calendar items, new resolutions, and new amendments:</w:t>
      </w:r>
    </w:p>
    <w:p w14:paraId="106B862C" w14:textId="77777777" w:rsidR="00EF5CAF" w:rsidRPr="005C745B" w:rsidRDefault="00EF5CAF" w:rsidP="00565CD0">
      <w:pPr>
        <w:pStyle w:val="ListParagraph"/>
        <w:widowControl w:val="0"/>
        <w:numPr>
          <w:ilvl w:val="0"/>
          <w:numId w:val="3"/>
        </w:numPr>
        <w:autoSpaceDE w:val="0"/>
        <w:autoSpaceDN w:val="0"/>
        <w:spacing w:after="0"/>
        <w:ind w:left="360" w:right="1164" w:hanging="180"/>
        <w:rPr>
          <w:rFonts w:eastAsia="Times New Roman" w:cstheme="minorHAnsi"/>
          <w:sz w:val="24"/>
          <w:szCs w:val="24"/>
        </w:rPr>
      </w:pPr>
      <w:r w:rsidRPr="005C745B">
        <w:rPr>
          <w:rFonts w:eastAsia="Times New Roman" w:cstheme="minorHAnsi"/>
          <w:sz w:val="24"/>
          <w:szCs w:val="24"/>
        </w:rPr>
        <w:t>Consent Calendar resolutions and amendments are marked with *</w:t>
      </w:r>
    </w:p>
    <w:p w14:paraId="08070BBF" w14:textId="77777777" w:rsidR="00EF5CAF" w:rsidRPr="005C745B" w:rsidRDefault="00EF5CAF" w:rsidP="00565CD0">
      <w:pPr>
        <w:pStyle w:val="ListParagraph"/>
        <w:widowControl w:val="0"/>
        <w:numPr>
          <w:ilvl w:val="0"/>
          <w:numId w:val="3"/>
        </w:numPr>
        <w:autoSpaceDE w:val="0"/>
        <w:autoSpaceDN w:val="0"/>
        <w:spacing w:after="0"/>
        <w:ind w:left="360" w:hanging="180"/>
        <w:rPr>
          <w:rFonts w:eastAsia="Times New Roman" w:cstheme="minorHAnsi"/>
          <w:sz w:val="24"/>
          <w:szCs w:val="24"/>
        </w:rPr>
      </w:pPr>
      <w:r w:rsidRPr="005C745B">
        <w:rPr>
          <w:rFonts w:eastAsia="Times New Roman" w:cstheme="minorHAnsi"/>
          <w:sz w:val="24"/>
          <w:szCs w:val="24"/>
        </w:rPr>
        <w:t>Resolutions</w:t>
      </w:r>
      <w:r w:rsidRPr="005C745B">
        <w:rPr>
          <w:rFonts w:eastAsia="Times New Roman" w:cstheme="minorHAnsi"/>
          <w:spacing w:val="-2"/>
          <w:sz w:val="24"/>
          <w:szCs w:val="24"/>
        </w:rPr>
        <w:t xml:space="preserve"> </w:t>
      </w:r>
      <w:r w:rsidRPr="005C745B">
        <w:rPr>
          <w:rFonts w:eastAsia="Times New Roman" w:cstheme="minorHAnsi"/>
          <w:sz w:val="24"/>
          <w:szCs w:val="24"/>
        </w:rPr>
        <w:t>and</w:t>
      </w:r>
      <w:r w:rsidRPr="005C745B">
        <w:rPr>
          <w:rFonts w:eastAsia="Times New Roman" w:cstheme="minorHAnsi"/>
          <w:spacing w:val="-2"/>
          <w:sz w:val="24"/>
          <w:szCs w:val="24"/>
        </w:rPr>
        <w:t xml:space="preserve"> </w:t>
      </w:r>
      <w:r w:rsidRPr="005C745B">
        <w:rPr>
          <w:rFonts w:eastAsia="Times New Roman" w:cstheme="minorHAnsi"/>
          <w:sz w:val="24"/>
          <w:szCs w:val="24"/>
        </w:rPr>
        <w:t>amendments</w:t>
      </w:r>
      <w:r w:rsidRPr="005C745B">
        <w:rPr>
          <w:rFonts w:eastAsia="Times New Roman" w:cstheme="minorHAnsi"/>
          <w:spacing w:val="-1"/>
          <w:sz w:val="24"/>
          <w:szCs w:val="24"/>
        </w:rPr>
        <w:t xml:space="preserve"> </w:t>
      </w:r>
      <w:r w:rsidRPr="005C745B">
        <w:rPr>
          <w:rFonts w:eastAsia="Times New Roman" w:cstheme="minorHAnsi"/>
          <w:sz w:val="24"/>
          <w:szCs w:val="24"/>
        </w:rPr>
        <w:t>submitted</w:t>
      </w:r>
      <w:r w:rsidRPr="005C745B">
        <w:rPr>
          <w:rFonts w:eastAsia="Times New Roman" w:cstheme="minorHAnsi"/>
          <w:spacing w:val="-2"/>
          <w:sz w:val="24"/>
          <w:szCs w:val="24"/>
        </w:rPr>
        <w:t xml:space="preserve"> </w:t>
      </w:r>
      <w:r w:rsidRPr="005C745B">
        <w:rPr>
          <w:rFonts w:eastAsia="Times New Roman" w:cstheme="minorHAnsi"/>
          <w:sz w:val="24"/>
          <w:szCs w:val="24"/>
        </w:rPr>
        <w:t>at</w:t>
      </w:r>
      <w:r w:rsidRPr="005C745B">
        <w:rPr>
          <w:rFonts w:eastAsia="Times New Roman" w:cstheme="minorHAnsi"/>
          <w:spacing w:val="-1"/>
          <w:sz w:val="24"/>
          <w:szCs w:val="24"/>
        </w:rPr>
        <w:t xml:space="preserve"> </w:t>
      </w:r>
      <w:r w:rsidRPr="005C745B">
        <w:rPr>
          <w:rFonts w:eastAsia="Times New Roman" w:cstheme="minorHAnsi"/>
          <w:sz w:val="24"/>
          <w:szCs w:val="24"/>
        </w:rPr>
        <w:t>Area</w:t>
      </w:r>
      <w:r w:rsidRPr="005C745B">
        <w:rPr>
          <w:rFonts w:eastAsia="Times New Roman" w:cstheme="minorHAnsi"/>
          <w:spacing w:val="-2"/>
          <w:sz w:val="24"/>
          <w:szCs w:val="24"/>
        </w:rPr>
        <w:t xml:space="preserve"> </w:t>
      </w:r>
      <w:r w:rsidRPr="005C745B">
        <w:rPr>
          <w:rFonts w:eastAsia="Times New Roman" w:cstheme="minorHAnsi"/>
          <w:sz w:val="24"/>
          <w:szCs w:val="24"/>
        </w:rPr>
        <w:t>Meetings</w:t>
      </w:r>
      <w:r w:rsidRPr="005C745B">
        <w:rPr>
          <w:rFonts w:eastAsia="Times New Roman" w:cstheme="minorHAnsi"/>
          <w:spacing w:val="-2"/>
          <w:sz w:val="24"/>
          <w:szCs w:val="24"/>
        </w:rPr>
        <w:t xml:space="preserve"> </w:t>
      </w:r>
      <w:r w:rsidRPr="005C745B">
        <w:rPr>
          <w:rFonts w:eastAsia="Times New Roman" w:cstheme="minorHAnsi"/>
          <w:sz w:val="24"/>
          <w:szCs w:val="24"/>
        </w:rPr>
        <w:t>are</w:t>
      </w:r>
      <w:r w:rsidRPr="005C745B">
        <w:rPr>
          <w:rFonts w:eastAsia="Times New Roman" w:cstheme="minorHAnsi"/>
          <w:spacing w:val="-2"/>
          <w:sz w:val="24"/>
          <w:szCs w:val="24"/>
        </w:rPr>
        <w:t xml:space="preserve"> </w:t>
      </w:r>
      <w:r w:rsidRPr="005C745B">
        <w:rPr>
          <w:rFonts w:eastAsia="Times New Roman" w:cstheme="minorHAnsi"/>
          <w:sz w:val="24"/>
          <w:szCs w:val="24"/>
        </w:rPr>
        <w:t>marked</w:t>
      </w:r>
      <w:r w:rsidRPr="005C745B">
        <w:rPr>
          <w:rFonts w:eastAsia="Times New Roman" w:cstheme="minorHAnsi"/>
          <w:spacing w:val="-2"/>
          <w:sz w:val="24"/>
          <w:szCs w:val="24"/>
        </w:rPr>
        <w:t xml:space="preserve"> </w:t>
      </w:r>
      <w:r w:rsidRPr="005C745B">
        <w:rPr>
          <w:rFonts w:eastAsia="Times New Roman" w:cstheme="minorHAnsi"/>
          <w:sz w:val="24"/>
          <w:szCs w:val="24"/>
        </w:rPr>
        <w:t>with +</w:t>
      </w:r>
    </w:p>
    <w:p w14:paraId="7A31E148" w14:textId="31DA97DD" w:rsidR="00EF5CAF" w:rsidRDefault="00EF5CAF" w:rsidP="00565CD0">
      <w:pPr>
        <w:pStyle w:val="ListParagraph"/>
        <w:widowControl w:val="0"/>
        <w:numPr>
          <w:ilvl w:val="0"/>
          <w:numId w:val="3"/>
        </w:numPr>
        <w:autoSpaceDE w:val="0"/>
        <w:autoSpaceDN w:val="0"/>
        <w:spacing w:after="0"/>
        <w:ind w:left="360" w:right="-180" w:hanging="180"/>
        <w:rPr>
          <w:rFonts w:eastAsia="Times New Roman" w:cstheme="minorHAnsi"/>
          <w:sz w:val="24"/>
          <w:szCs w:val="24"/>
        </w:rPr>
      </w:pPr>
      <w:r w:rsidRPr="005C745B">
        <w:rPr>
          <w:rFonts w:eastAsia="Times New Roman" w:cstheme="minorHAnsi"/>
          <w:sz w:val="24"/>
          <w:szCs w:val="24"/>
        </w:rPr>
        <w:t>Resolutions</w:t>
      </w:r>
      <w:r w:rsidRPr="005C745B">
        <w:rPr>
          <w:rFonts w:eastAsia="Times New Roman" w:cstheme="minorHAnsi"/>
          <w:spacing w:val="-2"/>
          <w:sz w:val="24"/>
          <w:szCs w:val="24"/>
        </w:rPr>
        <w:t xml:space="preserve"> </w:t>
      </w:r>
      <w:r w:rsidRPr="005C745B">
        <w:rPr>
          <w:rFonts w:eastAsia="Times New Roman" w:cstheme="minorHAnsi"/>
          <w:sz w:val="24"/>
          <w:szCs w:val="24"/>
        </w:rPr>
        <w:t>and</w:t>
      </w:r>
      <w:r w:rsidRPr="005C745B">
        <w:rPr>
          <w:rFonts w:eastAsia="Times New Roman" w:cstheme="minorHAnsi"/>
          <w:spacing w:val="-1"/>
          <w:sz w:val="24"/>
          <w:szCs w:val="24"/>
        </w:rPr>
        <w:t xml:space="preserve"> </w:t>
      </w:r>
      <w:r w:rsidRPr="005C745B">
        <w:rPr>
          <w:rFonts w:eastAsia="Times New Roman" w:cstheme="minorHAnsi"/>
          <w:sz w:val="24"/>
          <w:szCs w:val="24"/>
        </w:rPr>
        <w:t>amendments</w:t>
      </w:r>
      <w:r w:rsidRPr="005C745B">
        <w:rPr>
          <w:rFonts w:eastAsia="Times New Roman" w:cstheme="minorHAnsi"/>
          <w:spacing w:val="-1"/>
          <w:sz w:val="24"/>
          <w:szCs w:val="24"/>
        </w:rPr>
        <w:t xml:space="preserve"> </w:t>
      </w:r>
      <w:r w:rsidRPr="005C745B">
        <w:rPr>
          <w:rFonts w:eastAsia="Times New Roman" w:cstheme="minorHAnsi"/>
          <w:sz w:val="24"/>
          <w:szCs w:val="24"/>
        </w:rPr>
        <w:t>submitted</w:t>
      </w:r>
      <w:r w:rsidRPr="005C745B">
        <w:rPr>
          <w:rFonts w:eastAsia="Times New Roman" w:cstheme="minorHAnsi"/>
          <w:spacing w:val="-1"/>
          <w:sz w:val="24"/>
          <w:szCs w:val="24"/>
        </w:rPr>
        <w:t xml:space="preserve"> </w:t>
      </w:r>
      <w:r w:rsidRPr="005C745B">
        <w:rPr>
          <w:rFonts w:eastAsia="Times New Roman" w:cstheme="minorHAnsi"/>
          <w:sz w:val="24"/>
          <w:szCs w:val="24"/>
        </w:rPr>
        <w:t>during</w:t>
      </w:r>
      <w:r w:rsidRPr="005C745B">
        <w:rPr>
          <w:rFonts w:eastAsia="Times New Roman" w:cstheme="minorHAnsi"/>
          <w:spacing w:val="-2"/>
          <w:sz w:val="24"/>
          <w:szCs w:val="24"/>
        </w:rPr>
        <w:t xml:space="preserve"> the </w:t>
      </w:r>
      <w:r w:rsidRPr="005C745B">
        <w:rPr>
          <w:rFonts w:eastAsia="Times New Roman" w:cstheme="minorHAnsi"/>
          <w:sz w:val="24"/>
          <w:szCs w:val="24"/>
        </w:rPr>
        <w:t>plenary session</w:t>
      </w:r>
      <w:r w:rsidRPr="005C745B">
        <w:rPr>
          <w:rFonts w:eastAsia="Times New Roman" w:cstheme="minorHAnsi"/>
          <w:spacing w:val="-1"/>
          <w:sz w:val="24"/>
          <w:szCs w:val="24"/>
        </w:rPr>
        <w:t xml:space="preserve"> </w:t>
      </w:r>
      <w:r w:rsidRPr="005C745B">
        <w:rPr>
          <w:rFonts w:eastAsia="Times New Roman" w:cstheme="minorHAnsi"/>
          <w:sz w:val="24"/>
          <w:szCs w:val="24"/>
        </w:rPr>
        <w:t>are</w:t>
      </w:r>
      <w:r w:rsidRPr="005C745B">
        <w:rPr>
          <w:rFonts w:eastAsia="Times New Roman" w:cstheme="minorHAnsi"/>
          <w:spacing w:val="-3"/>
          <w:sz w:val="24"/>
          <w:szCs w:val="24"/>
        </w:rPr>
        <w:t xml:space="preserve"> </w:t>
      </w:r>
      <w:r w:rsidRPr="005C745B">
        <w:rPr>
          <w:rFonts w:eastAsia="Times New Roman" w:cstheme="minorHAnsi"/>
          <w:sz w:val="24"/>
          <w:szCs w:val="24"/>
        </w:rPr>
        <w:t>marked</w:t>
      </w:r>
      <w:r w:rsidRPr="005C745B">
        <w:rPr>
          <w:rFonts w:eastAsia="Times New Roman" w:cstheme="minorHAnsi"/>
          <w:spacing w:val="-1"/>
          <w:sz w:val="24"/>
          <w:szCs w:val="24"/>
        </w:rPr>
        <w:t xml:space="preserve"> </w:t>
      </w:r>
      <w:r w:rsidRPr="005C745B">
        <w:rPr>
          <w:rFonts w:eastAsia="Times New Roman" w:cstheme="minorHAnsi"/>
          <w:sz w:val="24"/>
          <w:szCs w:val="24"/>
        </w:rPr>
        <w:t>with</w:t>
      </w:r>
      <w:r w:rsidRPr="005C745B">
        <w:rPr>
          <w:rFonts w:eastAsia="Times New Roman" w:cstheme="minorHAnsi"/>
          <w:spacing w:val="-1"/>
          <w:sz w:val="24"/>
          <w:szCs w:val="24"/>
        </w:rPr>
        <w:t xml:space="preserve"> </w:t>
      </w:r>
      <w:r w:rsidRPr="005C745B">
        <w:rPr>
          <w:rFonts w:eastAsia="Times New Roman" w:cstheme="minorHAnsi"/>
          <w:sz w:val="24"/>
          <w:szCs w:val="24"/>
        </w:rPr>
        <w:t>#</w:t>
      </w:r>
    </w:p>
    <w:p w14:paraId="2A00B993" w14:textId="77777777" w:rsidR="00565CD0" w:rsidRPr="00565CD0" w:rsidRDefault="00565CD0" w:rsidP="00565CD0">
      <w:pPr>
        <w:pStyle w:val="ListParagraph"/>
        <w:widowControl w:val="0"/>
        <w:autoSpaceDE w:val="0"/>
        <w:autoSpaceDN w:val="0"/>
        <w:spacing w:after="0"/>
        <w:ind w:left="840" w:right="-180"/>
        <w:rPr>
          <w:rFonts w:eastAsia="Times New Roman" w:cstheme="minorHAnsi"/>
          <w:sz w:val="24"/>
          <w:szCs w:val="24"/>
        </w:rPr>
      </w:pPr>
    </w:p>
    <w:p w14:paraId="1C265905" w14:textId="7D8DF903" w:rsidR="00565CD0" w:rsidRDefault="00565CD0" w:rsidP="00BC6FE1">
      <w:pPr>
        <w:spacing w:after="120" w:line="240" w:lineRule="auto"/>
        <w:ind w:firstLine="360"/>
      </w:pPr>
      <w:r w:rsidRPr="00BC6FE1">
        <w:t>*1.02 S23  Adopt the 2023</w:t>
      </w:r>
      <w:r w:rsidR="001F4A0E" w:rsidRPr="00BC6FE1">
        <w:t>–</w:t>
      </w:r>
      <w:r w:rsidRPr="00BC6FE1">
        <w:t>2026 ASCCC Strategic Goals</w:t>
      </w:r>
    </w:p>
    <w:p w14:paraId="5BEF17BD" w14:textId="5B909A21" w:rsidR="009117C7" w:rsidRPr="00BC6FE1" w:rsidRDefault="009117C7" w:rsidP="00BC6FE1">
      <w:pPr>
        <w:spacing w:after="120" w:line="240" w:lineRule="auto"/>
        <w:ind w:firstLine="360"/>
      </w:pPr>
      <w:r w:rsidRPr="009117C7">
        <w:t>*1.03 S23  Flexible Area Meetings</w:t>
      </w:r>
      <w:r w:rsidRPr="009117C7">
        <w:tab/>
      </w:r>
    </w:p>
    <w:p w14:paraId="0631CC31" w14:textId="38F9AA2B" w:rsidR="00565CD0" w:rsidRPr="00BC6FE1" w:rsidRDefault="00565CD0" w:rsidP="00BC6FE1">
      <w:pPr>
        <w:spacing w:after="120" w:line="240" w:lineRule="auto"/>
        <w:ind w:firstLine="360"/>
      </w:pPr>
      <w:r w:rsidRPr="00BC6FE1">
        <w:t>*6.01 S23  Support AB 607 (Kalra, 2023), If Amended</w:t>
      </w:r>
    </w:p>
    <w:p w14:paraId="3F733031" w14:textId="1CDDF27E" w:rsidR="00565CD0" w:rsidRPr="00BC6FE1" w:rsidRDefault="00565CD0" w:rsidP="00BC6FE1">
      <w:pPr>
        <w:spacing w:after="120" w:line="240" w:lineRule="auto"/>
        <w:ind w:firstLine="360"/>
      </w:pPr>
      <w:r w:rsidRPr="00BC6FE1">
        <w:t>*7.01 S23  Destigmatize Academic Probation Language and Processes</w:t>
      </w:r>
    </w:p>
    <w:p w14:paraId="410CB113" w14:textId="088F77EF" w:rsidR="00565CD0" w:rsidRPr="00BC6FE1" w:rsidRDefault="00565CD0" w:rsidP="00BC6FE1">
      <w:pPr>
        <w:spacing w:after="120" w:line="240" w:lineRule="auto"/>
        <w:ind w:firstLine="360"/>
      </w:pPr>
      <w:r>
        <w:t>*7.02 S23  Replace TOP Code with CIP Code</w:t>
      </w:r>
      <w:r>
        <w:tab/>
      </w:r>
    </w:p>
    <w:p w14:paraId="1EF2079C" w14:textId="59F43483" w:rsidR="00565CD0" w:rsidRPr="00BC6FE1" w:rsidRDefault="00565CD0" w:rsidP="00BC6FE1">
      <w:pPr>
        <w:spacing w:after="120" w:line="240" w:lineRule="auto"/>
        <w:ind w:firstLine="360"/>
      </w:pPr>
      <w:r w:rsidRPr="00BC6FE1">
        <w:t>*10.01 S23  Disciplines List–Ethnic Studies</w:t>
      </w:r>
      <w:r w:rsidRPr="00BC6FE1">
        <w:tab/>
      </w:r>
    </w:p>
    <w:p w14:paraId="461AC01E" w14:textId="454A999F" w:rsidR="00565CD0" w:rsidRPr="00BC6FE1" w:rsidRDefault="00565CD0" w:rsidP="00BC6FE1">
      <w:pPr>
        <w:spacing w:after="120" w:line="240" w:lineRule="auto"/>
        <w:ind w:firstLine="360"/>
      </w:pPr>
      <w:r w:rsidRPr="00BC6FE1">
        <w:t>*12.01 S23  Assert the Value of the Work Done by the Online Network of Educators (@ONE)</w:t>
      </w:r>
    </w:p>
    <w:p w14:paraId="0B490D94" w14:textId="21C51E01" w:rsidR="00565CD0" w:rsidRPr="00BC6FE1" w:rsidRDefault="00565CD0" w:rsidP="00BC6FE1">
      <w:pPr>
        <w:spacing w:after="120" w:line="240" w:lineRule="auto"/>
        <w:ind w:firstLine="360"/>
      </w:pPr>
      <w:r w:rsidRPr="00BC6FE1">
        <w:t>*13.01 S23  Low Textbook Cost Designation and Search in CVC Online Course Finder</w:t>
      </w:r>
      <w:r w:rsidRPr="00BC6FE1">
        <w:tab/>
      </w:r>
    </w:p>
    <w:p w14:paraId="0C9A8F9B" w14:textId="70BC6FD7" w:rsidR="00565CD0" w:rsidRPr="00BC6FE1" w:rsidRDefault="00565CD0" w:rsidP="00BC6FE1">
      <w:pPr>
        <w:spacing w:after="120" w:line="240" w:lineRule="auto"/>
        <w:ind w:firstLine="360"/>
      </w:pPr>
      <w:r w:rsidRPr="00BC6FE1">
        <w:t>*13.02 S23  Adopt “Enrollment Management Revisited Again: Post Pandemic” Paper</w:t>
      </w:r>
      <w:r w:rsidRPr="00BC6FE1">
        <w:tab/>
      </w:r>
    </w:p>
    <w:p w14:paraId="4DC8DDCC" w14:textId="77F3E809" w:rsidR="002965D6" w:rsidRDefault="00565CD0" w:rsidP="001D5DA6">
      <w:pPr>
        <w:spacing w:after="120" w:line="240" w:lineRule="auto"/>
        <w:ind w:firstLine="360"/>
      </w:pPr>
      <w:r w:rsidRPr="00BC6FE1">
        <w:t>*13.0</w:t>
      </w:r>
      <w:r w:rsidR="001D5DA6">
        <w:t>3</w:t>
      </w:r>
      <w:r w:rsidRPr="00BC6FE1">
        <w:t xml:space="preserve"> S23  Adopt “Effective and Equitable Online Education: A Faculty Perspective” Paper</w:t>
      </w:r>
      <w:r>
        <w:tab/>
      </w:r>
    </w:p>
    <w:p w14:paraId="330D6613" w14:textId="6AAD612F" w:rsidR="001D5DA6" w:rsidRPr="00BC6FE1" w:rsidRDefault="001D5DA6" w:rsidP="001D5DA6">
      <w:pPr>
        <w:spacing w:after="120" w:line="240" w:lineRule="auto"/>
        <w:ind w:firstLine="360"/>
      </w:pPr>
      <w:r w:rsidRPr="00BC6FE1">
        <w:t>*13.0</w:t>
      </w:r>
      <w:r>
        <w:t>4</w:t>
      </w:r>
      <w:r w:rsidRPr="00BC6FE1">
        <w:t xml:space="preserve"> S23  Define Academic Freedom in Title 5</w:t>
      </w:r>
      <w:r w:rsidRPr="00BC6FE1">
        <w:tab/>
      </w:r>
    </w:p>
    <w:p w14:paraId="0BF242CC" w14:textId="046C6770" w:rsidR="001D5DA6" w:rsidRDefault="001D5DA6" w:rsidP="00BC6FE1">
      <w:pPr>
        <w:spacing w:after="120" w:line="240" w:lineRule="auto"/>
        <w:ind w:firstLine="360"/>
        <w:sectPr w:rsidR="001D5DA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2072077789"/>
        <w:docPartObj>
          <w:docPartGallery w:val="Table of Contents"/>
          <w:docPartUnique/>
        </w:docPartObj>
      </w:sdtPr>
      <w:sdtContent>
        <w:p w14:paraId="5082CD79" w14:textId="76CA3249" w:rsidR="004F23D1" w:rsidRPr="004F23D1" w:rsidRDefault="004F23D1" w:rsidP="004F23D1">
          <w:pPr>
            <w:pStyle w:val="TOCHeading"/>
            <w:jc w:val="center"/>
            <w:rPr>
              <w:b/>
              <w:bCs/>
              <w:color w:val="auto"/>
            </w:rPr>
          </w:pPr>
          <w:r w:rsidRPr="194E0518">
            <w:rPr>
              <w:b/>
              <w:bCs/>
              <w:color w:val="auto"/>
            </w:rPr>
            <w:t>Table of Contents</w:t>
          </w:r>
        </w:p>
        <w:p w14:paraId="615E32AC" w14:textId="5C375717" w:rsidR="00DF2085" w:rsidRDefault="00BE6B17">
          <w:pPr>
            <w:pStyle w:val="TOC1"/>
            <w:tabs>
              <w:tab w:val="right" w:leader="dot" w:pos="9350"/>
            </w:tabs>
            <w:rPr>
              <w:rFonts w:eastAsiaTheme="minorEastAsia"/>
              <w:noProof/>
              <w:sz w:val="24"/>
              <w:szCs w:val="24"/>
            </w:rPr>
          </w:pPr>
          <w:r>
            <w:fldChar w:fldCharType="begin"/>
          </w:r>
          <w:r w:rsidR="004F23D1">
            <w:instrText>TOC \o "1-3" \h \z \u</w:instrText>
          </w:r>
          <w:r>
            <w:fldChar w:fldCharType="separate"/>
          </w:r>
          <w:hyperlink w:anchor="_Toc129872493" w:history="1">
            <w:r w:rsidR="00DF2085" w:rsidRPr="00742C0A">
              <w:rPr>
                <w:rStyle w:val="Hyperlink"/>
                <w:rFonts w:eastAsia="Times New Roman"/>
                <w:noProof/>
              </w:rPr>
              <w:t>PLENARY RESOLUTIONS PROCESS</w:t>
            </w:r>
            <w:r w:rsidR="00DF2085">
              <w:rPr>
                <w:noProof/>
                <w:webHidden/>
              </w:rPr>
              <w:tab/>
            </w:r>
            <w:r w:rsidR="00DF2085">
              <w:rPr>
                <w:noProof/>
                <w:webHidden/>
              </w:rPr>
              <w:fldChar w:fldCharType="begin"/>
            </w:r>
            <w:r w:rsidR="00DF2085">
              <w:rPr>
                <w:noProof/>
                <w:webHidden/>
              </w:rPr>
              <w:instrText xml:space="preserve"> PAGEREF _Toc129872493 \h </w:instrText>
            </w:r>
            <w:r w:rsidR="00DF2085">
              <w:rPr>
                <w:noProof/>
                <w:webHidden/>
              </w:rPr>
            </w:r>
            <w:r w:rsidR="00DF2085">
              <w:rPr>
                <w:noProof/>
                <w:webHidden/>
              </w:rPr>
              <w:fldChar w:fldCharType="separate"/>
            </w:r>
            <w:r w:rsidR="00DF2085">
              <w:rPr>
                <w:noProof/>
                <w:webHidden/>
              </w:rPr>
              <w:t>2</w:t>
            </w:r>
            <w:r w:rsidR="00DF2085">
              <w:rPr>
                <w:noProof/>
                <w:webHidden/>
              </w:rPr>
              <w:fldChar w:fldCharType="end"/>
            </w:r>
          </w:hyperlink>
        </w:p>
        <w:p w14:paraId="75CAD389" w14:textId="7DBDE5D2" w:rsidR="00DF2085" w:rsidRDefault="00DF2085">
          <w:pPr>
            <w:pStyle w:val="TOC1"/>
            <w:tabs>
              <w:tab w:val="right" w:leader="dot" w:pos="9350"/>
            </w:tabs>
            <w:rPr>
              <w:rFonts w:eastAsiaTheme="minorEastAsia"/>
              <w:noProof/>
              <w:sz w:val="24"/>
              <w:szCs w:val="24"/>
            </w:rPr>
          </w:pPr>
          <w:hyperlink w:anchor="_Toc129872494" w:history="1">
            <w:r w:rsidRPr="00742C0A">
              <w:rPr>
                <w:rStyle w:val="Hyperlink"/>
                <w:rFonts w:eastAsia="Times New Roman"/>
                <w:noProof/>
              </w:rPr>
              <w:t>CONSENT CALENDAR</w:t>
            </w:r>
            <w:r>
              <w:rPr>
                <w:noProof/>
                <w:webHidden/>
              </w:rPr>
              <w:tab/>
            </w:r>
            <w:r>
              <w:rPr>
                <w:noProof/>
                <w:webHidden/>
              </w:rPr>
              <w:fldChar w:fldCharType="begin"/>
            </w:r>
            <w:r>
              <w:rPr>
                <w:noProof/>
                <w:webHidden/>
              </w:rPr>
              <w:instrText xml:space="preserve"> PAGEREF _Toc129872494 \h </w:instrText>
            </w:r>
            <w:r>
              <w:rPr>
                <w:noProof/>
                <w:webHidden/>
              </w:rPr>
            </w:r>
            <w:r>
              <w:rPr>
                <w:noProof/>
                <w:webHidden/>
              </w:rPr>
              <w:fldChar w:fldCharType="separate"/>
            </w:r>
            <w:r>
              <w:rPr>
                <w:noProof/>
                <w:webHidden/>
              </w:rPr>
              <w:t>3</w:t>
            </w:r>
            <w:r>
              <w:rPr>
                <w:noProof/>
                <w:webHidden/>
              </w:rPr>
              <w:fldChar w:fldCharType="end"/>
            </w:r>
          </w:hyperlink>
        </w:p>
        <w:p w14:paraId="012233EC" w14:textId="22674D46" w:rsidR="00DF2085" w:rsidRDefault="00DF2085">
          <w:pPr>
            <w:pStyle w:val="TOC1"/>
            <w:tabs>
              <w:tab w:val="right" w:leader="dot" w:pos="9350"/>
            </w:tabs>
            <w:rPr>
              <w:rFonts w:eastAsiaTheme="minorEastAsia"/>
              <w:noProof/>
              <w:sz w:val="24"/>
              <w:szCs w:val="24"/>
            </w:rPr>
          </w:pPr>
          <w:hyperlink w:anchor="_Toc129872495" w:history="1">
            <w:r w:rsidRPr="00742C0A">
              <w:rPr>
                <w:rStyle w:val="Hyperlink"/>
                <w:noProof/>
              </w:rPr>
              <w:t>1.0 Academic Senate</w:t>
            </w:r>
            <w:r>
              <w:rPr>
                <w:noProof/>
                <w:webHidden/>
              </w:rPr>
              <w:tab/>
            </w:r>
            <w:r>
              <w:rPr>
                <w:noProof/>
                <w:webHidden/>
              </w:rPr>
              <w:fldChar w:fldCharType="begin"/>
            </w:r>
            <w:r>
              <w:rPr>
                <w:noProof/>
                <w:webHidden/>
              </w:rPr>
              <w:instrText xml:space="preserve"> PAGEREF _Toc129872495 \h </w:instrText>
            </w:r>
            <w:r>
              <w:rPr>
                <w:noProof/>
                <w:webHidden/>
              </w:rPr>
            </w:r>
            <w:r>
              <w:rPr>
                <w:noProof/>
                <w:webHidden/>
              </w:rPr>
              <w:fldChar w:fldCharType="separate"/>
            </w:r>
            <w:r>
              <w:rPr>
                <w:noProof/>
                <w:webHidden/>
              </w:rPr>
              <w:t>5</w:t>
            </w:r>
            <w:r>
              <w:rPr>
                <w:noProof/>
                <w:webHidden/>
              </w:rPr>
              <w:fldChar w:fldCharType="end"/>
            </w:r>
          </w:hyperlink>
        </w:p>
        <w:p w14:paraId="182E8FAC" w14:textId="74BE56D7" w:rsidR="00DF2085" w:rsidRDefault="00DF2085" w:rsidP="00DF2085">
          <w:pPr>
            <w:pStyle w:val="TOC2"/>
            <w:rPr>
              <w:rFonts w:eastAsiaTheme="minorEastAsia"/>
              <w:noProof/>
              <w:sz w:val="24"/>
              <w:szCs w:val="24"/>
            </w:rPr>
          </w:pPr>
          <w:hyperlink w:anchor="_Toc129872496" w:history="1">
            <w:r w:rsidRPr="00742C0A">
              <w:rPr>
                <w:rStyle w:val="Hyperlink"/>
                <w:noProof/>
              </w:rPr>
              <w:t>1.01 S23  Add a Designated At-Large Part-Time Repres</w:t>
            </w:r>
            <w:r w:rsidRPr="00742C0A">
              <w:rPr>
                <w:rStyle w:val="Hyperlink"/>
                <w:noProof/>
              </w:rPr>
              <w:t>e</w:t>
            </w:r>
            <w:r w:rsidRPr="00742C0A">
              <w:rPr>
                <w:rStyle w:val="Hyperlink"/>
                <w:noProof/>
              </w:rPr>
              <w:t>ntative to the Executive Committee</w:t>
            </w:r>
            <w:r>
              <w:rPr>
                <w:noProof/>
                <w:webHidden/>
              </w:rPr>
              <w:tab/>
            </w:r>
            <w:r>
              <w:rPr>
                <w:noProof/>
                <w:webHidden/>
              </w:rPr>
              <w:fldChar w:fldCharType="begin"/>
            </w:r>
            <w:r>
              <w:rPr>
                <w:noProof/>
                <w:webHidden/>
              </w:rPr>
              <w:instrText xml:space="preserve"> PAGEREF _Toc129872496 \h </w:instrText>
            </w:r>
            <w:r>
              <w:rPr>
                <w:noProof/>
                <w:webHidden/>
              </w:rPr>
            </w:r>
            <w:r>
              <w:rPr>
                <w:noProof/>
                <w:webHidden/>
              </w:rPr>
              <w:fldChar w:fldCharType="separate"/>
            </w:r>
            <w:r>
              <w:rPr>
                <w:noProof/>
                <w:webHidden/>
              </w:rPr>
              <w:t>5</w:t>
            </w:r>
            <w:r>
              <w:rPr>
                <w:noProof/>
                <w:webHidden/>
              </w:rPr>
              <w:fldChar w:fldCharType="end"/>
            </w:r>
          </w:hyperlink>
        </w:p>
        <w:p w14:paraId="4D4A7008" w14:textId="0F865C5B" w:rsidR="00DF2085" w:rsidRDefault="00DF2085" w:rsidP="00DF2085">
          <w:pPr>
            <w:pStyle w:val="TOC2"/>
            <w:rPr>
              <w:rFonts w:eastAsiaTheme="minorEastAsia"/>
              <w:noProof/>
              <w:sz w:val="24"/>
              <w:szCs w:val="24"/>
            </w:rPr>
          </w:pPr>
          <w:hyperlink w:anchor="_Toc129872497" w:history="1">
            <w:r w:rsidRPr="00742C0A">
              <w:rPr>
                <w:rStyle w:val="Hyperlink"/>
                <w:noProof/>
              </w:rPr>
              <w:t>*1.02 S23  Adopt the 2023–2026 ASCCC Strategic Goals</w:t>
            </w:r>
            <w:r>
              <w:rPr>
                <w:noProof/>
                <w:webHidden/>
              </w:rPr>
              <w:tab/>
            </w:r>
            <w:r>
              <w:rPr>
                <w:noProof/>
                <w:webHidden/>
              </w:rPr>
              <w:fldChar w:fldCharType="begin"/>
            </w:r>
            <w:r>
              <w:rPr>
                <w:noProof/>
                <w:webHidden/>
              </w:rPr>
              <w:instrText xml:space="preserve"> PAGEREF _Toc129872497 \h </w:instrText>
            </w:r>
            <w:r>
              <w:rPr>
                <w:noProof/>
                <w:webHidden/>
              </w:rPr>
            </w:r>
            <w:r>
              <w:rPr>
                <w:noProof/>
                <w:webHidden/>
              </w:rPr>
              <w:fldChar w:fldCharType="separate"/>
            </w:r>
            <w:r>
              <w:rPr>
                <w:noProof/>
                <w:webHidden/>
              </w:rPr>
              <w:t>6</w:t>
            </w:r>
            <w:r>
              <w:rPr>
                <w:noProof/>
                <w:webHidden/>
              </w:rPr>
              <w:fldChar w:fldCharType="end"/>
            </w:r>
          </w:hyperlink>
        </w:p>
        <w:p w14:paraId="3BB8D13D" w14:textId="1B2A14AA" w:rsidR="00DF2085" w:rsidRDefault="00DF2085" w:rsidP="00DF2085">
          <w:pPr>
            <w:pStyle w:val="TOC2"/>
            <w:rPr>
              <w:rFonts w:eastAsiaTheme="minorEastAsia"/>
              <w:noProof/>
              <w:sz w:val="24"/>
              <w:szCs w:val="24"/>
            </w:rPr>
          </w:pPr>
          <w:hyperlink w:anchor="_Toc129872498" w:history="1">
            <w:r w:rsidRPr="00742C0A">
              <w:rPr>
                <w:rStyle w:val="Hyperlink"/>
                <w:noProof/>
              </w:rPr>
              <w:t>*1.03 S23  Flexible Area Meetings</w:t>
            </w:r>
            <w:r>
              <w:rPr>
                <w:noProof/>
                <w:webHidden/>
              </w:rPr>
              <w:tab/>
            </w:r>
            <w:r>
              <w:rPr>
                <w:noProof/>
                <w:webHidden/>
              </w:rPr>
              <w:fldChar w:fldCharType="begin"/>
            </w:r>
            <w:r>
              <w:rPr>
                <w:noProof/>
                <w:webHidden/>
              </w:rPr>
              <w:instrText xml:space="preserve"> PAGEREF _Toc129872498 \h </w:instrText>
            </w:r>
            <w:r>
              <w:rPr>
                <w:noProof/>
                <w:webHidden/>
              </w:rPr>
            </w:r>
            <w:r>
              <w:rPr>
                <w:noProof/>
                <w:webHidden/>
              </w:rPr>
              <w:fldChar w:fldCharType="separate"/>
            </w:r>
            <w:r>
              <w:rPr>
                <w:noProof/>
                <w:webHidden/>
              </w:rPr>
              <w:t>6</w:t>
            </w:r>
            <w:r>
              <w:rPr>
                <w:noProof/>
                <w:webHidden/>
              </w:rPr>
              <w:fldChar w:fldCharType="end"/>
            </w:r>
          </w:hyperlink>
        </w:p>
        <w:p w14:paraId="3C3FE9BA" w14:textId="6A0BDE09" w:rsidR="00DF2085" w:rsidRDefault="00DF2085">
          <w:pPr>
            <w:pStyle w:val="TOC1"/>
            <w:tabs>
              <w:tab w:val="right" w:leader="dot" w:pos="9350"/>
            </w:tabs>
            <w:rPr>
              <w:rFonts w:eastAsiaTheme="minorEastAsia"/>
              <w:noProof/>
              <w:sz w:val="24"/>
              <w:szCs w:val="24"/>
            </w:rPr>
          </w:pPr>
          <w:hyperlink w:anchor="_Toc129872499" w:history="1">
            <w:r w:rsidRPr="00742C0A">
              <w:rPr>
                <w:rStyle w:val="Hyperlink"/>
                <w:noProof/>
              </w:rPr>
              <w:t>6.0 State and Legislative Issues</w:t>
            </w:r>
            <w:r>
              <w:rPr>
                <w:noProof/>
                <w:webHidden/>
              </w:rPr>
              <w:tab/>
            </w:r>
            <w:r>
              <w:rPr>
                <w:noProof/>
                <w:webHidden/>
              </w:rPr>
              <w:fldChar w:fldCharType="begin"/>
            </w:r>
            <w:r>
              <w:rPr>
                <w:noProof/>
                <w:webHidden/>
              </w:rPr>
              <w:instrText xml:space="preserve"> PAGEREF _Toc129872499 \h </w:instrText>
            </w:r>
            <w:r>
              <w:rPr>
                <w:noProof/>
                <w:webHidden/>
              </w:rPr>
            </w:r>
            <w:r>
              <w:rPr>
                <w:noProof/>
                <w:webHidden/>
              </w:rPr>
              <w:fldChar w:fldCharType="separate"/>
            </w:r>
            <w:r>
              <w:rPr>
                <w:noProof/>
                <w:webHidden/>
              </w:rPr>
              <w:t>7</w:t>
            </w:r>
            <w:r>
              <w:rPr>
                <w:noProof/>
                <w:webHidden/>
              </w:rPr>
              <w:fldChar w:fldCharType="end"/>
            </w:r>
          </w:hyperlink>
        </w:p>
        <w:p w14:paraId="7AF652DE" w14:textId="14FA5C0E" w:rsidR="00DF2085" w:rsidRDefault="00DF2085" w:rsidP="00DF2085">
          <w:pPr>
            <w:pStyle w:val="TOC2"/>
            <w:rPr>
              <w:rFonts w:eastAsiaTheme="minorEastAsia"/>
              <w:noProof/>
              <w:sz w:val="24"/>
              <w:szCs w:val="24"/>
            </w:rPr>
          </w:pPr>
          <w:hyperlink w:anchor="_Toc129872500" w:history="1">
            <w:r w:rsidRPr="00742C0A">
              <w:rPr>
                <w:rStyle w:val="Hyperlink"/>
                <w:noProof/>
              </w:rPr>
              <w:t>*6.01 S23  Support AB 607 (Kalra, 2023), If Amended</w:t>
            </w:r>
            <w:r>
              <w:rPr>
                <w:noProof/>
                <w:webHidden/>
              </w:rPr>
              <w:tab/>
            </w:r>
            <w:r>
              <w:rPr>
                <w:noProof/>
                <w:webHidden/>
              </w:rPr>
              <w:fldChar w:fldCharType="begin"/>
            </w:r>
            <w:r>
              <w:rPr>
                <w:noProof/>
                <w:webHidden/>
              </w:rPr>
              <w:instrText xml:space="preserve"> PAGEREF _Toc129872500 \h </w:instrText>
            </w:r>
            <w:r>
              <w:rPr>
                <w:noProof/>
                <w:webHidden/>
              </w:rPr>
            </w:r>
            <w:r>
              <w:rPr>
                <w:noProof/>
                <w:webHidden/>
              </w:rPr>
              <w:fldChar w:fldCharType="separate"/>
            </w:r>
            <w:r>
              <w:rPr>
                <w:noProof/>
                <w:webHidden/>
              </w:rPr>
              <w:t>7</w:t>
            </w:r>
            <w:r>
              <w:rPr>
                <w:noProof/>
                <w:webHidden/>
              </w:rPr>
              <w:fldChar w:fldCharType="end"/>
            </w:r>
          </w:hyperlink>
        </w:p>
        <w:p w14:paraId="56D607BB" w14:textId="10BEBDD3" w:rsidR="00DF2085" w:rsidRDefault="00DF2085">
          <w:pPr>
            <w:pStyle w:val="TOC1"/>
            <w:tabs>
              <w:tab w:val="right" w:leader="dot" w:pos="9350"/>
            </w:tabs>
            <w:rPr>
              <w:rFonts w:eastAsiaTheme="minorEastAsia"/>
              <w:noProof/>
              <w:sz w:val="24"/>
              <w:szCs w:val="24"/>
            </w:rPr>
          </w:pPr>
          <w:hyperlink w:anchor="_Toc129872501" w:history="1">
            <w:r w:rsidRPr="00742C0A">
              <w:rPr>
                <w:rStyle w:val="Hyperlink"/>
                <w:noProof/>
              </w:rPr>
              <w:t>7.0 Consultation with the Chancellor’s Office</w:t>
            </w:r>
            <w:r>
              <w:rPr>
                <w:noProof/>
                <w:webHidden/>
              </w:rPr>
              <w:tab/>
            </w:r>
            <w:r>
              <w:rPr>
                <w:noProof/>
                <w:webHidden/>
              </w:rPr>
              <w:fldChar w:fldCharType="begin"/>
            </w:r>
            <w:r>
              <w:rPr>
                <w:noProof/>
                <w:webHidden/>
              </w:rPr>
              <w:instrText xml:space="preserve"> PAGEREF _Toc129872501 \h </w:instrText>
            </w:r>
            <w:r>
              <w:rPr>
                <w:noProof/>
                <w:webHidden/>
              </w:rPr>
            </w:r>
            <w:r>
              <w:rPr>
                <w:noProof/>
                <w:webHidden/>
              </w:rPr>
              <w:fldChar w:fldCharType="separate"/>
            </w:r>
            <w:r>
              <w:rPr>
                <w:noProof/>
                <w:webHidden/>
              </w:rPr>
              <w:t>8</w:t>
            </w:r>
            <w:r>
              <w:rPr>
                <w:noProof/>
                <w:webHidden/>
              </w:rPr>
              <w:fldChar w:fldCharType="end"/>
            </w:r>
          </w:hyperlink>
        </w:p>
        <w:p w14:paraId="6BF37F27" w14:textId="3AA0E133" w:rsidR="00DF2085" w:rsidRDefault="00DF2085" w:rsidP="00DF2085">
          <w:pPr>
            <w:pStyle w:val="TOC2"/>
            <w:rPr>
              <w:rFonts w:eastAsiaTheme="minorEastAsia"/>
              <w:noProof/>
              <w:sz w:val="24"/>
              <w:szCs w:val="24"/>
            </w:rPr>
          </w:pPr>
          <w:hyperlink w:anchor="_Toc129872502" w:history="1">
            <w:r w:rsidRPr="00742C0A">
              <w:rPr>
                <w:rStyle w:val="Hyperlink"/>
                <w:noProof/>
              </w:rPr>
              <w:t>*7.01 S23  Destigmatize Academic Probation Language and Processes</w:t>
            </w:r>
            <w:r>
              <w:rPr>
                <w:noProof/>
                <w:webHidden/>
              </w:rPr>
              <w:tab/>
            </w:r>
            <w:r>
              <w:rPr>
                <w:noProof/>
                <w:webHidden/>
              </w:rPr>
              <w:fldChar w:fldCharType="begin"/>
            </w:r>
            <w:r>
              <w:rPr>
                <w:noProof/>
                <w:webHidden/>
              </w:rPr>
              <w:instrText xml:space="preserve"> PAGEREF _Toc129872502 \h </w:instrText>
            </w:r>
            <w:r>
              <w:rPr>
                <w:noProof/>
                <w:webHidden/>
              </w:rPr>
            </w:r>
            <w:r>
              <w:rPr>
                <w:noProof/>
                <w:webHidden/>
              </w:rPr>
              <w:fldChar w:fldCharType="separate"/>
            </w:r>
            <w:r>
              <w:rPr>
                <w:noProof/>
                <w:webHidden/>
              </w:rPr>
              <w:t>8</w:t>
            </w:r>
            <w:r>
              <w:rPr>
                <w:noProof/>
                <w:webHidden/>
              </w:rPr>
              <w:fldChar w:fldCharType="end"/>
            </w:r>
          </w:hyperlink>
        </w:p>
        <w:p w14:paraId="7761DC6C" w14:textId="5F02E4F1" w:rsidR="00DF2085" w:rsidRDefault="00DF2085" w:rsidP="00DF2085">
          <w:pPr>
            <w:pStyle w:val="TOC2"/>
            <w:rPr>
              <w:rFonts w:eastAsiaTheme="minorEastAsia"/>
              <w:noProof/>
              <w:sz w:val="24"/>
              <w:szCs w:val="24"/>
            </w:rPr>
          </w:pPr>
          <w:hyperlink w:anchor="_Toc129872503" w:history="1">
            <w:r w:rsidRPr="00742C0A">
              <w:rPr>
                <w:rStyle w:val="Hyperlink"/>
                <w:noProof/>
              </w:rPr>
              <w:t>*7.02 S23  Replace TOP Cod</w:t>
            </w:r>
            <w:r w:rsidRPr="00742C0A">
              <w:rPr>
                <w:rStyle w:val="Hyperlink"/>
                <w:noProof/>
              </w:rPr>
              <w:t>e</w:t>
            </w:r>
            <w:r w:rsidRPr="00742C0A">
              <w:rPr>
                <w:rStyle w:val="Hyperlink"/>
                <w:noProof/>
              </w:rPr>
              <w:t xml:space="preserve"> with CIP Code</w:t>
            </w:r>
            <w:r>
              <w:rPr>
                <w:noProof/>
                <w:webHidden/>
              </w:rPr>
              <w:tab/>
            </w:r>
            <w:r>
              <w:rPr>
                <w:noProof/>
                <w:webHidden/>
              </w:rPr>
              <w:fldChar w:fldCharType="begin"/>
            </w:r>
            <w:r>
              <w:rPr>
                <w:noProof/>
                <w:webHidden/>
              </w:rPr>
              <w:instrText xml:space="preserve"> PAGEREF _Toc129872503 \h </w:instrText>
            </w:r>
            <w:r>
              <w:rPr>
                <w:noProof/>
                <w:webHidden/>
              </w:rPr>
            </w:r>
            <w:r>
              <w:rPr>
                <w:noProof/>
                <w:webHidden/>
              </w:rPr>
              <w:fldChar w:fldCharType="separate"/>
            </w:r>
            <w:r>
              <w:rPr>
                <w:noProof/>
                <w:webHidden/>
              </w:rPr>
              <w:t>9</w:t>
            </w:r>
            <w:r>
              <w:rPr>
                <w:noProof/>
                <w:webHidden/>
              </w:rPr>
              <w:fldChar w:fldCharType="end"/>
            </w:r>
          </w:hyperlink>
        </w:p>
        <w:p w14:paraId="005212C0" w14:textId="6DF44B52" w:rsidR="00DF2085" w:rsidRDefault="00DF2085">
          <w:pPr>
            <w:pStyle w:val="TOC1"/>
            <w:tabs>
              <w:tab w:val="right" w:leader="dot" w:pos="9350"/>
            </w:tabs>
            <w:rPr>
              <w:rFonts w:eastAsiaTheme="minorEastAsia"/>
              <w:noProof/>
              <w:sz w:val="24"/>
              <w:szCs w:val="24"/>
            </w:rPr>
          </w:pPr>
          <w:hyperlink w:anchor="_Toc129872504" w:history="1">
            <w:r w:rsidRPr="00742C0A">
              <w:rPr>
                <w:rStyle w:val="Hyperlink"/>
                <w:noProof/>
              </w:rPr>
              <w:t>10.0 Disciplines List</w:t>
            </w:r>
            <w:r>
              <w:rPr>
                <w:noProof/>
                <w:webHidden/>
              </w:rPr>
              <w:tab/>
            </w:r>
            <w:r>
              <w:rPr>
                <w:noProof/>
                <w:webHidden/>
              </w:rPr>
              <w:fldChar w:fldCharType="begin"/>
            </w:r>
            <w:r>
              <w:rPr>
                <w:noProof/>
                <w:webHidden/>
              </w:rPr>
              <w:instrText xml:space="preserve"> PAGEREF _Toc129872504 \h </w:instrText>
            </w:r>
            <w:r>
              <w:rPr>
                <w:noProof/>
                <w:webHidden/>
              </w:rPr>
            </w:r>
            <w:r>
              <w:rPr>
                <w:noProof/>
                <w:webHidden/>
              </w:rPr>
              <w:fldChar w:fldCharType="separate"/>
            </w:r>
            <w:r>
              <w:rPr>
                <w:noProof/>
                <w:webHidden/>
              </w:rPr>
              <w:t>10</w:t>
            </w:r>
            <w:r>
              <w:rPr>
                <w:noProof/>
                <w:webHidden/>
              </w:rPr>
              <w:fldChar w:fldCharType="end"/>
            </w:r>
          </w:hyperlink>
        </w:p>
        <w:p w14:paraId="67A5F86F" w14:textId="7D4C29BC" w:rsidR="00DF2085" w:rsidRDefault="00DF2085" w:rsidP="00DF2085">
          <w:pPr>
            <w:pStyle w:val="TOC2"/>
            <w:rPr>
              <w:rFonts w:eastAsiaTheme="minorEastAsia"/>
              <w:noProof/>
              <w:sz w:val="24"/>
              <w:szCs w:val="24"/>
            </w:rPr>
          </w:pPr>
          <w:hyperlink w:anchor="_Toc129872505" w:history="1">
            <w:r w:rsidRPr="00742C0A">
              <w:rPr>
                <w:rStyle w:val="Hyperlink"/>
                <w:noProof/>
              </w:rPr>
              <w:t>*10.01 S23  Disciplines List–Ethnic Studies</w:t>
            </w:r>
            <w:r>
              <w:rPr>
                <w:noProof/>
                <w:webHidden/>
              </w:rPr>
              <w:tab/>
            </w:r>
            <w:r>
              <w:rPr>
                <w:noProof/>
                <w:webHidden/>
              </w:rPr>
              <w:fldChar w:fldCharType="begin"/>
            </w:r>
            <w:r>
              <w:rPr>
                <w:noProof/>
                <w:webHidden/>
              </w:rPr>
              <w:instrText xml:space="preserve"> PAGEREF _Toc129872505 \h </w:instrText>
            </w:r>
            <w:r>
              <w:rPr>
                <w:noProof/>
                <w:webHidden/>
              </w:rPr>
            </w:r>
            <w:r>
              <w:rPr>
                <w:noProof/>
                <w:webHidden/>
              </w:rPr>
              <w:fldChar w:fldCharType="separate"/>
            </w:r>
            <w:r>
              <w:rPr>
                <w:noProof/>
                <w:webHidden/>
              </w:rPr>
              <w:t>10</w:t>
            </w:r>
            <w:r>
              <w:rPr>
                <w:noProof/>
                <w:webHidden/>
              </w:rPr>
              <w:fldChar w:fldCharType="end"/>
            </w:r>
          </w:hyperlink>
        </w:p>
        <w:p w14:paraId="6538AC5D" w14:textId="27C81318" w:rsidR="00DF2085" w:rsidRDefault="00DF2085">
          <w:pPr>
            <w:pStyle w:val="TOC1"/>
            <w:tabs>
              <w:tab w:val="right" w:leader="dot" w:pos="9350"/>
            </w:tabs>
            <w:rPr>
              <w:rFonts w:eastAsiaTheme="minorEastAsia"/>
              <w:noProof/>
              <w:sz w:val="24"/>
              <w:szCs w:val="24"/>
            </w:rPr>
          </w:pPr>
          <w:hyperlink w:anchor="_Toc129872506" w:history="1">
            <w:r w:rsidRPr="00742C0A">
              <w:rPr>
                <w:rStyle w:val="Hyperlink"/>
                <w:noProof/>
              </w:rPr>
              <w:t>12.0 Faculty Development</w:t>
            </w:r>
            <w:r>
              <w:rPr>
                <w:noProof/>
                <w:webHidden/>
              </w:rPr>
              <w:tab/>
            </w:r>
            <w:r>
              <w:rPr>
                <w:noProof/>
                <w:webHidden/>
              </w:rPr>
              <w:fldChar w:fldCharType="begin"/>
            </w:r>
            <w:r>
              <w:rPr>
                <w:noProof/>
                <w:webHidden/>
              </w:rPr>
              <w:instrText xml:space="preserve"> PAGEREF _Toc129872506 \h </w:instrText>
            </w:r>
            <w:r>
              <w:rPr>
                <w:noProof/>
                <w:webHidden/>
              </w:rPr>
            </w:r>
            <w:r>
              <w:rPr>
                <w:noProof/>
                <w:webHidden/>
              </w:rPr>
              <w:fldChar w:fldCharType="separate"/>
            </w:r>
            <w:r>
              <w:rPr>
                <w:noProof/>
                <w:webHidden/>
              </w:rPr>
              <w:t>10</w:t>
            </w:r>
            <w:r>
              <w:rPr>
                <w:noProof/>
                <w:webHidden/>
              </w:rPr>
              <w:fldChar w:fldCharType="end"/>
            </w:r>
          </w:hyperlink>
        </w:p>
        <w:p w14:paraId="4A39658B" w14:textId="36EFA7DB" w:rsidR="00DF2085" w:rsidRDefault="00DF2085" w:rsidP="00DF2085">
          <w:pPr>
            <w:pStyle w:val="TOC2"/>
            <w:rPr>
              <w:rFonts w:eastAsiaTheme="minorEastAsia"/>
              <w:noProof/>
              <w:sz w:val="24"/>
              <w:szCs w:val="24"/>
            </w:rPr>
          </w:pPr>
          <w:hyperlink w:anchor="_Toc129872507" w:history="1">
            <w:r w:rsidRPr="00742C0A">
              <w:rPr>
                <w:rStyle w:val="Hyperlink"/>
                <w:noProof/>
              </w:rPr>
              <w:t>*12.01 S23  Assert the Value of the Work Done by the Online Network of Educators (@ONE)</w:t>
            </w:r>
            <w:r>
              <w:rPr>
                <w:noProof/>
                <w:webHidden/>
              </w:rPr>
              <w:tab/>
            </w:r>
            <w:r>
              <w:rPr>
                <w:noProof/>
                <w:webHidden/>
              </w:rPr>
              <w:fldChar w:fldCharType="begin"/>
            </w:r>
            <w:r>
              <w:rPr>
                <w:noProof/>
                <w:webHidden/>
              </w:rPr>
              <w:instrText xml:space="preserve"> PAGEREF _Toc129872507 \h </w:instrText>
            </w:r>
            <w:r>
              <w:rPr>
                <w:noProof/>
                <w:webHidden/>
              </w:rPr>
            </w:r>
            <w:r>
              <w:rPr>
                <w:noProof/>
                <w:webHidden/>
              </w:rPr>
              <w:fldChar w:fldCharType="separate"/>
            </w:r>
            <w:r>
              <w:rPr>
                <w:noProof/>
                <w:webHidden/>
              </w:rPr>
              <w:t>10</w:t>
            </w:r>
            <w:r>
              <w:rPr>
                <w:noProof/>
                <w:webHidden/>
              </w:rPr>
              <w:fldChar w:fldCharType="end"/>
            </w:r>
          </w:hyperlink>
        </w:p>
        <w:p w14:paraId="16F965B5" w14:textId="30427932" w:rsidR="00DF2085" w:rsidRDefault="00DF2085">
          <w:pPr>
            <w:pStyle w:val="TOC1"/>
            <w:tabs>
              <w:tab w:val="right" w:leader="dot" w:pos="9350"/>
            </w:tabs>
            <w:rPr>
              <w:rFonts w:eastAsiaTheme="minorEastAsia"/>
              <w:noProof/>
              <w:sz w:val="24"/>
              <w:szCs w:val="24"/>
            </w:rPr>
          </w:pPr>
          <w:hyperlink w:anchor="_Toc129872508" w:history="1">
            <w:r w:rsidRPr="00742C0A">
              <w:rPr>
                <w:rStyle w:val="Hyperlink"/>
                <w:noProof/>
              </w:rPr>
              <w:t>13.0 General Concerns</w:t>
            </w:r>
            <w:r>
              <w:rPr>
                <w:noProof/>
                <w:webHidden/>
              </w:rPr>
              <w:tab/>
            </w:r>
            <w:r>
              <w:rPr>
                <w:noProof/>
                <w:webHidden/>
              </w:rPr>
              <w:fldChar w:fldCharType="begin"/>
            </w:r>
            <w:r>
              <w:rPr>
                <w:noProof/>
                <w:webHidden/>
              </w:rPr>
              <w:instrText xml:space="preserve"> PAGEREF _Toc129872508 \h </w:instrText>
            </w:r>
            <w:r>
              <w:rPr>
                <w:noProof/>
                <w:webHidden/>
              </w:rPr>
            </w:r>
            <w:r>
              <w:rPr>
                <w:noProof/>
                <w:webHidden/>
              </w:rPr>
              <w:fldChar w:fldCharType="separate"/>
            </w:r>
            <w:r>
              <w:rPr>
                <w:noProof/>
                <w:webHidden/>
              </w:rPr>
              <w:t>11</w:t>
            </w:r>
            <w:r>
              <w:rPr>
                <w:noProof/>
                <w:webHidden/>
              </w:rPr>
              <w:fldChar w:fldCharType="end"/>
            </w:r>
          </w:hyperlink>
        </w:p>
        <w:p w14:paraId="78BF8CEB" w14:textId="3AEDABDE" w:rsidR="00DF2085" w:rsidRDefault="00DF2085" w:rsidP="00DF2085">
          <w:pPr>
            <w:pStyle w:val="TOC2"/>
            <w:rPr>
              <w:rFonts w:eastAsiaTheme="minorEastAsia"/>
              <w:noProof/>
              <w:sz w:val="24"/>
              <w:szCs w:val="24"/>
            </w:rPr>
          </w:pPr>
          <w:hyperlink w:anchor="_Toc129872509" w:history="1">
            <w:r w:rsidRPr="00742C0A">
              <w:rPr>
                <w:rStyle w:val="Hyperlink"/>
                <w:noProof/>
              </w:rPr>
              <w:t>*13.01 S23  Low Textbook C</w:t>
            </w:r>
            <w:r w:rsidRPr="00742C0A">
              <w:rPr>
                <w:rStyle w:val="Hyperlink"/>
                <w:noProof/>
              </w:rPr>
              <w:t>o</w:t>
            </w:r>
            <w:r w:rsidRPr="00742C0A">
              <w:rPr>
                <w:rStyle w:val="Hyperlink"/>
                <w:noProof/>
              </w:rPr>
              <w:t>st Designation and Search in CVC Online Course Finder</w:t>
            </w:r>
            <w:r>
              <w:rPr>
                <w:noProof/>
                <w:webHidden/>
              </w:rPr>
              <w:tab/>
            </w:r>
            <w:r>
              <w:rPr>
                <w:noProof/>
                <w:webHidden/>
              </w:rPr>
              <w:fldChar w:fldCharType="begin"/>
            </w:r>
            <w:r>
              <w:rPr>
                <w:noProof/>
                <w:webHidden/>
              </w:rPr>
              <w:instrText xml:space="preserve"> PAGEREF _Toc129872509 \h </w:instrText>
            </w:r>
            <w:r>
              <w:rPr>
                <w:noProof/>
                <w:webHidden/>
              </w:rPr>
            </w:r>
            <w:r>
              <w:rPr>
                <w:noProof/>
                <w:webHidden/>
              </w:rPr>
              <w:fldChar w:fldCharType="separate"/>
            </w:r>
            <w:r>
              <w:rPr>
                <w:noProof/>
                <w:webHidden/>
              </w:rPr>
              <w:t>11</w:t>
            </w:r>
            <w:r>
              <w:rPr>
                <w:noProof/>
                <w:webHidden/>
              </w:rPr>
              <w:fldChar w:fldCharType="end"/>
            </w:r>
          </w:hyperlink>
        </w:p>
        <w:p w14:paraId="678E0E1A" w14:textId="6C8F1E3E" w:rsidR="00DF2085" w:rsidRDefault="00DF2085" w:rsidP="00DF2085">
          <w:pPr>
            <w:pStyle w:val="TOC2"/>
            <w:rPr>
              <w:rFonts w:eastAsiaTheme="minorEastAsia"/>
              <w:noProof/>
              <w:sz w:val="24"/>
              <w:szCs w:val="24"/>
            </w:rPr>
          </w:pPr>
          <w:hyperlink w:anchor="_Toc129872510" w:history="1">
            <w:r w:rsidRPr="00742C0A">
              <w:rPr>
                <w:rStyle w:val="Hyperlink"/>
                <w:noProof/>
              </w:rPr>
              <w:t>*13.02 S23  Adopt “Enrollment Management Revisited Again: Post Pandemic” Paper</w:t>
            </w:r>
            <w:r>
              <w:rPr>
                <w:noProof/>
                <w:webHidden/>
              </w:rPr>
              <w:tab/>
            </w:r>
            <w:r>
              <w:rPr>
                <w:noProof/>
                <w:webHidden/>
              </w:rPr>
              <w:fldChar w:fldCharType="begin"/>
            </w:r>
            <w:r>
              <w:rPr>
                <w:noProof/>
                <w:webHidden/>
              </w:rPr>
              <w:instrText xml:space="preserve"> PAGEREF _Toc129872510 \h </w:instrText>
            </w:r>
            <w:r>
              <w:rPr>
                <w:noProof/>
                <w:webHidden/>
              </w:rPr>
            </w:r>
            <w:r>
              <w:rPr>
                <w:noProof/>
                <w:webHidden/>
              </w:rPr>
              <w:fldChar w:fldCharType="separate"/>
            </w:r>
            <w:r>
              <w:rPr>
                <w:noProof/>
                <w:webHidden/>
              </w:rPr>
              <w:t>12</w:t>
            </w:r>
            <w:r>
              <w:rPr>
                <w:noProof/>
                <w:webHidden/>
              </w:rPr>
              <w:fldChar w:fldCharType="end"/>
            </w:r>
          </w:hyperlink>
        </w:p>
        <w:p w14:paraId="4FBFE9AA" w14:textId="231979E5" w:rsidR="00DF2085" w:rsidRDefault="00DF2085" w:rsidP="00DF2085">
          <w:pPr>
            <w:pStyle w:val="TOC2"/>
            <w:rPr>
              <w:rFonts w:eastAsiaTheme="minorEastAsia"/>
              <w:noProof/>
              <w:sz w:val="24"/>
              <w:szCs w:val="24"/>
            </w:rPr>
          </w:pPr>
          <w:hyperlink w:anchor="_Toc129872511" w:history="1">
            <w:r w:rsidRPr="00742C0A">
              <w:rPr>
                <w:rStyle w:val="Hyperlink"/>
                <w:noProof/>
              </w:rPr>
              <w:t>*13.03 S23  Adopt “Effective and Equitable Online Education: A Faculty Perspective” Paper</w:t>
            </w:r>
            <w:r>
              <w:rPr>
                <w:noProof/>
                <w:webHidden/>
              </w:rPr>
              <w:tab/>
            </w:r>
            <w:r>
              <w:rPr>
                <w:noProof/>
                <w:webHidden/>
              </w:rPr>
              <w:fldChar w:fldCharType="begin"/>
            </w:r>
            <w:r>
              <w:rPr>
                <w:noProof/>
                <w:webHidden/>
              </w:rPr>
              <w:instrText xml:space="preserve"> PAGEREF _Toc129872511 \h </w:instrText>
            </w:r>
            <w:r>
              <w:rPr>
                <w:noProof/>
                <w:webHidden/>
              </w:rPr>
            </w:r>
            <w:r>
              <w:rPr>
                <w:noProof/>
                <w:webHidden/>
              </w:rPr>
              <w:fldChar w:fldCharType="separate"/>
            </w:r>
            <w:r>
              <w:rPr>
                <w:noProof/>
                <w:webHidden/>
              </w:rPr>
              <w:t>13</w:t>
            </w:r>
            <w:r>
              <w:rPr>
                <w:noProof/>
                <w:webHidden/>
              </w:rPr>
              <w:fldChar w:fldCharType="end"/>
            </w:r>
          </w:hyperlink>
        </w:p>
        <w:p w14:paraId="10740005" w14:textId="7D143BBE" w:rsidR="00DF2085" w:rsidRDefault="00DF2085" w:rsidP="00DF2085">
          <w:pPr>
            <w:pStyle w:val="TOC2"/>
            <w:rPr>
              <w:rFonts w:eastAsiaTheme="minorEastAsia"/>
              <w:noProof/>
              <w:sz w:val="24"/>
              <w:szCs w:val="24"/>
            </w:rPr>
          </w:pPr>
          <w:hyperlink w:anchor="_Toc129872512" w:history="1">
            <w:r w:rsidRPr="00742C0A">
              <w:rPr>
                <w:rStyle w:val="Hyperlink"/>
                <w:noProof/>
              </w:rPr>
              <w:t>*13.04 S23  Define Academic Freedom in Title 5</w:t>
            </w:r>
            <w:r>
              <w:rPr>
                <w:noProof/>
                <w:webHidden/>
              </w:rPr>
              <w:tab/>
            </w:r>
            <w:r>
              <w:rPr>
                <w:noProof/>
                <w:webHidden/>
              </w:rPr>
              <w:fldChar w:fldCharType="begin"/>
            </w:r>
            <w:r>
              <w:rPr>
                <w:noProof/>
                <w:webHidden/>
              </w:rPr>
              <w:instrText xml:space="preserve"> PAGEREF _Toc129872512 \h </w:instrText>
            </w:r>
            <w:r>
              <w:rPr>
                <w:noProof/>
                <w:webHidden/>
              </w:rPr>
            </w:r>
            <w:r>
              <w:rPr>
                <w:noProof/>
                <w:webHidden/>
              </w:rPr>
              <w:fldChar w:fldCharType="separate"/>
            </w:r>
            <w:r>
              <w:rPr>
                <w:noProof/>
                <w:webHidden/>
              </w:rPr>
              <w:t>13</w:t>
            </w:r>
            <w:r>
              <w:rPr>
                <w:noProof/>
                <w:webHidden/>
              </w:rPr>
              <w:fldChar w:fldCharType="end"/>
            </w:r>
          </w:hyperlink>
        </w:p>
        <w:p w14:paraId="070C3E22" w14:textId="098319DA" w:rsidR="00BE6B17" w:rsidRDefault="00BE6B17" w:rsidP="00DF2085">
          <w:pPr>
            <w:pStyle w:val="TOC2"/>
            <w:rPr>
              <w:rStyle w:val="Hyperlink"/>
              <w:noProof/>
            </w:rPr>
          </w:pPr>
          <w:r>
            <w:fldChar w:fldCharType="end"/>
          </w:r>
        </w:p>
      </w:sdtContent>
    </w:sdt>
    <w:p w14:paraId="45116E21" w14:textId="7BB84EC0" w:rsidR="004F23D1" w:rsidRDefault="004F23D1"/>
    <w:p w14:paraId="4707A92F" w14:textId="77777777" w:rsidR="004F23D1" w:rsidRDefault="004F23D1" w:rsidP="00CE4CDB">
      <w:pPr>
        <w:pStyle w:val="ResolutionsTitle"/>
        <w:sectPr w:rsidR="004F23D1">
          <w:pgSz w:w="12240" w:h="15840"/>
          <w:pgMar w:top="1440" w:right="1440" w:bottom="1440" w:left="1440" w:header="720" w:footer="720" w:gutter="0"/>
          <w:cols w:space="720"/>
          <w:docGrid w:linePitch="360"/>
        </w:sectPr>
      </w:pPr>
    </w:p>
    <w:p w14:paraId="08AF482F" w14:textId="7D299E62" w:rsidR="00DD0FCE" w:rsidRDefault="00CE4CDB" w:rsidP="00CE4CDB">
      <w:pPr>
        <w:pStyle w:val="ResolutionsTitle"/>
      </w:pPr>
      <w:bookmarkStart w:id="4" w:name="_Toc129872495"/>
      <w:r>
        <w:lastRenderedPageBreak/>
        <w:t>1.0 Academic Senate</w:t>
      </w:r>
      <w:bookmarkEnd w:id="4"/>
    </w:p>
    <w:p w14:paraId="4F06C743" w14:textId="54B5D36D" w:rsidR="00565CD0" w:rsidRPr="006C1C00" w:rsidRDefault="00565CD0" w:rsidP="00CE4CDB">
      <w:pPr>
        <w:pStyle w:val="ResolutionsTitles"/>
      </w:pPr>
      <w:bookmarkStart w:id="5" w:name="_Toc129872496"/>
      <w:r>
        <w:t xml:space="preserve">1.01 S23  Add </w:t>
      </w:r>
      <w:r w:rsidR="0BF4935C">
        <w:t>a</w:t>
      </w:r>
      <w:r>
        <w:t xml:space="preserve"> Designated At-Large Part-Time Representative to the Executive Committee</w:t>
      </w:r>
      <w:bookmarkEnd w:id="5"/>
    </w:p>
    <w:p w14:paraId="52173B04" w14:textId="2D2A9593" w:rsidR="00565CD0" w:rsidRPr="006C1C00" w:rsidRDefault="00565CD0" w:rsidP="006C1C00">
      <w:pPr>
        <w:spacing w:after="120" w:line="240" w:lineRule="auto"/>
        <w:rPr>
          <w:sz w:val="24"/>
          <w:szCs w:val="24"/>
        </w:rPr>
      </w:pPr>
      <w:r w:rsidRPr="00793E43">
        <w:rPr>
          <w:noProof/>
          <w:sz w:val="24"/>
          <w:szCs w:val="24"/>
        </w:rPr>
        <w:t xml:space="preserve">Whereas, The Academic Senate for California Community Colleges (ASCCC) has had a long-standing commitment to participation of part-time faculty </w:t>
      </w:r>
      <w:r w:rsidR="32A4F698" w:rsidRPr="00793E43">
        <w:rPr>
          <w:noProof/>
          <w:sz w:val="24"/>
          <w:szCs w:val="24"/>
        </w:rPr>
        <w:t xml:space="preserve">as </w:t>
      </w:r>
      <w:r w:rsidRPr="00793E43">
        <w:rPr>
          <w:noProof/>
          <w:sz w:val="24"/>
          <w:szCs w:val="24"/>
        </w:rPr>
        <w:t>demonstrated in resolutions</w:t>
      </w:r>
      <w:r>
        <w:rPr>
          <w:rStyle w:val="FootnoteReference"/>
          <w:noProof/>
          <w:sz w:val="24"/>
          <w:szCs w:val="24"/>
        </w:rPr>
        <w:footnoteReference w:id="2"/>
      </w:r>
      <w:r w:rsidRPr="00793E43">
        <w:rPr>
          <w:noProof/>
          <w:sz w:val="24"/>
          <w:szCs w:val="24"/>
        </w:rPr>
        <w:t xml:space="preserve"> and papers, as they bring vital and unique authentic voices and experiences to discussions of academic and professional matters in alignment with the Inclusion, Diversity, Equity, Antiracism and Accessibility commitment of the ASCCC;</w:t>
      </w:r>
    </w:p>
    <w:p w14:paraId="603FF4F3" w14:textId="767DAAC6" w:rsidR="00565CD0" w:rsidRPr="006C1C00" w:rsidRDefault="00565CD0" w:rsidP="006C1C00">
      <w:pPr>
        <w:spacing w:after="120" w:line="240" w:lineRule="auto"/>
        <w:rPr>
          <w:sz w:val="24"/>
          <w:szCs w:val="24"/>
        </w:rPr>
      </w:pPr>
      <w:r w:rsidRPr="00793E43">
        <w:rPr>
          <w:noProof/>
          <w:sz w:val="24"/>
          <w:szCs w:val="24"/>
        </w:rPr>
        <w:t>Whereas, Resolution S96 01.05</w:t>
      </w:r>
      <w:r>
        <w:rPr>
          <w:rStyle w:val="FootnoteReference"/>
          <w:noProof/>
          <w:sz w:val="24"/>
          <w:szCs w:val="24"/>
        </w:rPr>
        <w:footnoteReference w:id="3"/>
      </w:r>
      <w:r w:rsidRPr="00793E43">
        <w:rPr>
          <w:noProof/>
          <w:sz w:val="24"/>
          <w:szCs w:val="24"/>
        </w:rPr>
        <w:t xml:space="preserve"> called for the Academic Senate for California Community Colleges to develop a proposal to ensure participation of part-time faculty on the Executive Committee and a paper titled "Participation of Part-time Faculty on the Executive Committee of the Academic Senate for California Community Colleges" was developed in 1998 with recommendations to support the opportunity for part-time faculty inclusion, the paper recommended several bylaws changes to make </w:t>
      </w:r>
      <w:r w:rsidR="248DB906" w:rsidRPr="00793E43">
        <w:rPr>
          <w:noProof/>
          <w:sz w:val="24"/>
          <w:szCs w:val="24"/>
        </w:rPr>
        <w:t xml:space="preserve">it </w:t>
      </w:r>
      <w:r w:rsidRPr="00793E43">
        <w:rPr>
          <w:noProof/>
          <w:sz w:val="24"/>
          <w:szCs w:val="24"/>
        </w:rPr>
        <w:t>possible for part-time faculty to run for election, yet the paper fell short of “assuring participation on the Executive Committee”</w:t>
      </w:r>
      <w:r>
        <w:rPr>
          <w:rStyle w:val="FootnoteReference"/>
          <w:noProof/>
          <w:sz w:val="24"/>
          <w:szCs w:val="24"/>
        </w:rPr>
        <w:footnoteReference w:id="4"/>
      </w:r>
      <w:r w:rsidRPr="00793E43">
        <w:rPr>
          <w:noProof/>
          <w:sz w:val="24"/>
          <w:szCs w:val="24"/>
        </w:rPr>
        <w:t>;</w:t>
      </w:r>
    </w:p>
    <w:p w14:paraId="10A4E8B8" w14:textId="77777777" w:rsidR="00565CD0" w:rsidRPr="006C1C00" w:rsidRDefault="00565CD0" w:rsidP="006C1C00">
      <w:pPr>
        <w:spacing w:after="120" w:line="240" w:lineRule="auto"/>
        <w:rPr>
          <w:sz w:val="24"/>
          <w:szCs w:val="24"/>
        </w:rPr>
      </w:pPr>
      <w:r w:rsidRPr="5906F1B2">
        <w:rPr>
          <w:noProof/>
          <w:sz w:val="24"/>
          <w:szCs w:val="24"/>
        </w:rPr>
        <w:t>Whereas, Since the 1998 paper "Participation of Part-time Faculty on the Executive Committee of the Academic Senate for California Community Colleges" only one known part-time faculty member has successfully run for a seat on the Academic Senate for California Community Colleges (ASCCC) Executive Committee, showing that changes to the bylaws alone will not assure that there will be a part-time faculty voice on the ASCCC Executive Committee and there are still significant barriers to part-time faculty running for election including the qualification requirements; and</w:t>
      </w:r>
    </w:p>
    <w:p w14:paraId="2180978A" w14:textId="77777777" w:rsidR="00565CD0" w:rsidRPr="006C1C00" w:rsidRDefault="00565CD0" w:rsidP="006C1C00">
      <w:pPr>
        <w:spacing w:after="120" w:line="240" w:lineRule="auto"/>
        <w:rPr>
          <w:sz w:val="24"/>
          <w:szCs w:val="24"/>
        </w:rPr>
      </w:pPr>
      <w:r w:rsidRPr="5906F1B2">
        <w:rPr>
          <w:noProof/>
          <w:sz w:val="24"/>
          <w:szCs w:val="24"/>
        </w:rPr>
        <w:t>Whereas, According to the California Community Colleges Datamart Dashboard, in Fall 2022 part-time faculty</w:t>
      </w:r>
      <w:r>
        <w:rPr>
          <w:noProof/>
          <w:sz w:val="24"/>
          <w:szCs w:val="24"/>
        </w:rPr>
        <w:t xml:space="preserve"> (labeled as “academic, temporary” in Dashboard)</w:t>
      </w:r>
      <w:r w:rsidRPr="5906F1B2">
        <w:rPr>
          <w:noProof/>
          <w:sz w:val="24"/>
          <w:szCs w:val="24"/>
        </w:rPr>
        <w:t xml:space="preserve"> made up</w:t>
      </w:r>
      <w:r>
        <w:rPr>
          <w:noProof/>
          <w:sz w:val="24"/>
          <w:szCs w:val="24"/>
        </w:rPr>
        <w:t xml:space="preserve"> approximately</w:t>
      </w:r>
      <w:r w:rsidRPr="5906F1B2">
        <w:rPr>
          <w:noProof/>
          <w:sz w:val="24"/>
          <w:szCs w:val="24"/>
        </w:rPr>
        <w:t xml:space="preserve"> 6</w:t>
      </w:r>
      <w:r>
        <w:rPr>
          <w:noProof/>
          <w:sz w:val="24"/>
          <w:szCs w:val="24"/>
        </w:rPr>
        <w:t>7</w:t>
      </w:r>
      <w:r w:rsidRPr="5906F1B2">
        <w:rPr>
          <w:noProof/>
          <w:sz w:val="24"/>
          <w:szCs w:val="24"/>
        </w:rPr>
        <w:t>% of the faculty workforce encompassing over half of the faculty in the California Community College system,</w:t>
      </w:r>
      <w:r>
        <w:rPr>
          <w:rStyle w:val="FootnoteReference"/>
          <w:noProof/>
          <w:sz w:val="24"/>
          <w:szCs w:val="24"/>
        </w:rPr>
        <w:footnoteReference w:id="5"/>
      </w:r>
      <w:r w:rsidRPr="5906F1B2">
        <w:rPr>
          <w:noProof/>
          <w:sz w:val="24"/>
          <w:szCs w:val="24"/>
        </w:rPr>
        <w:t xml:space="preserve"> and part-time faculty are important voices that are currently not represented on the Academic Senate for California Community Colleges Executive Committee;</w:t>
      </w:r>
    </w:p>
    <w:p w14:paraId="5D42418D" w14:textId="77777777" w:rsidR="00565CD0" w:rsidRPr="006C1C00" w:rsidRDefault="00565CD0" w:rsidP="006C1C00">
      <w:pPr>
        <w:spacing w:after="120" w:line="240" w:lineRule="auto"/>
        <w:rPr>
          <w:sz w:val="24"/>
          <w:szCs w:val="24"/>
        </w:rPr>
      </w:pPr>
      <w:r w:rsidRPr="00793E43">
        <w:rPr>
          <w:noProof/>
          <w:sz w:val="24"/>
          <w:szCs w:val="24"/>
        </w:rPr>
        <w:t xml:space="preserve">Resolved, That the Academic Senate for California Community Colleges revise its bylaws to create a fifteenth </w:t>
      </w:r>
      <w:r>
        <w:rPr>
          <w:noProof/>
          <w:sz w:val="24"/>
          <w:szCs w:val="24"/>
        </w:rPr>
        <w:t xml:space="preserve">elected </w:t>
      </w:r>
      <w:r w:rsidRPr="00793E43">
        <w:rPr>
          <w:noProof/>
          <w:sz w:val="24"/>
          <w:szCs w:val="24"/>
        </w:rPr>
        <w:t>member of the Executive Committee as a designated at-large part-time faculty member and review polices to support part-time faculty’s ability to run and that these changes be brought back to the body by 2024 Spring Plenary;</w:t>
      </w:r>
      <w:r>
        <w:rPr>
          <w:noProof/>
          <w:sz w:val="24"/>
          <w:szCs w:val="24"/>
        </w:rPr>
        <w:t xml:space="preserve"> </w:t>
      </w:r>
    </w:p>
    <w:p w14:paraId="51D9B5CF" w14:textId="77777777" w:rsidR="00565CD0" w:rsidRPr="006C1C00" w:rsidRDefault="00565CD0" w:rsidP="006C1C00">
      <w:pPr>
        <w:spacing w:after="120" w:line="240" w:lineRule="auto"/>
        <w:rPr>
          <w:sz w:val="24"/>
          <w:szCs w:val="24"/>
        </w:rPr>
      </w:pPr>
      <w:r w:rsidRPr="5906F1B2">
        <w:rPr>
          <w:noProof/>
          <w:sz w:val="24"/>
          <w:szCs w:val="24"/>
        </w:rPr>
        <w:lastRenderedPageBreak/>
        <w:t>Resolved, That the Academic Senate for California Community Colleges (ASCCC) review its eligibility requirements for Executive Committee members and support equitable opportunities for part-time faculty to run for the ASCCC Executive Committee; and</w:t>
      </w:r>
    </w:p>
    <w:p w14:paraId="28209C25" w14:textId="77777777" w:rsidR="00565CD0" w:rsidRPr="006C1C00" w:rsidRDefault="00565CD0" w:rsidP="00FE04D1">
      <w:pPr>
        <w:keepNext/>
        <w:keepLines/>
        <w:spacing w:after="120" w:line="240" w:lineRule="auto"/>
        <w:rPr>
          <w:sz w:val="24"/>
          <w:szCs w:val="24"/>
        </w:rPr>
      </w:pPr>
      <w:r w:rsidRPr="00793E43">
        <w:rPr>
          <w:noProof/>
          <w:sz w:val="24"/>
          <w:szCs w:val="24"/>
        </w:rPr>
        <w:t>Resolved, That the Academic Senate for California Community Colleges provide professional development opportunities for part-time faculty on the role of the Executive Committee and opportunities for participation to encourage part-time faculty to run for any position for which they qualify.</w:t>
      </w:r>
    </w:p>
    <w:p w14:paraId="0612F809" w14:textId="77777777" w:rsidR="00565CD0" w:rsidRDefault="00565CD0" w:rsidP="00A6250E">
      <w:pPr>
        <w:spacing w:after="240" w:line="240" w:lineRule="auto"/>
      </w:pPr>
      <w:r w:rsidRPr="006C1C00">
        <w:rPr>
          <w:sz w:val="24"/>
          <w:szCs w:val="24"/>
        </w:rPr>
        <w:t xml:space="preserve">Contact: </w:t>
      </w:r>
      <w:r w:rsidRPr="00793E43">
        <w:rPr>
          <w:noProof/>
          <w:sz w:val="24"/>
          <w:szCs w:val="24"/>
        </w:rPr>
        <w:t>Anastasia Zavodny</w:t>
      </w:r>
      <w:r w:rsidRPr="006C1C00">
        <w:rPr>
          <w:sz w:val="24"/>
          <w:szCs w:val="24"/>
        </w:rPr>
        <w:t xml:space="preserve">, </w:t>
      </w:r>
      <w:r w:rsidRPr="00793E43">
        <w:rPr>
          <w:noProof/>
          <w:sz w:val="24"/>
          <w:szCs w:val="24"/>
        </w:rPr>
        <w:t>Reedley College</w:t>
      </w:r>
      <w:r w:rsidRPr="006C1C00">
        <w:rPr>
          <w:sz w:val="24"/>
          <w:szCs w:val="24"/>
        </w:rPr>
        <w:t xml:space="preserve">, </w:t>
      </w:r>
      <w:r w:rsidRPr="00793E43">
        <w:rPr>
          <w:noProof/>
          <w:sz w:val="24"/>
          <w:szCs w:val="24"/>
        </w:rPr>
        <w:t>Part-time Faculty Committee</w:t>
      </w:r>
    </w:p>
    <w:p w14:paraId="20C2146A" w14:textId="16D97F58" w:rsidR="00565CD0" w:rsidRPr="006C1C00" w:rsidRDefault="00565CD0" w:rsidP="00D47CC5">
      <w:pPr>
        <w:pStyle w:val="ResolutionsTitles"/>
      </w:pPr>
      <w:bookmarkStart w:id="6" w:name="_Toc129872497"/>
      <w:r>
        <w:t>*1.02 S23  Adopt the 2023</w:t>
      </w:r>
      <w:r w:rsidR="001F4A0E">
        <w:t>–</w:t>
      </w:r>
      <w:r>
        <w:t>2026 ASCCC Strategic Goals</w:t>
      </w:r>
      <w:bookmarkEnd w:id="6"/>
    </w:p>
    <w:p w14:paraId="5095E140" w14:textId="77777777" w:rsidR="00565CD0" w:rsidRPr="006C1C00" w:rsidRDefault="00565CD0" w:rsidP="006C1C00">
      <w:pPr>
        <w:spacing w:after="120" w:line="240" w:lineRule="auto"/>
        <w:rPr>
          <w:sz w:val="24"/>
          <w:szCs w:val="24"/>
        </w:rPr>
      </w:pPr>
      <w:r w:rsidRPr="00793E43">
        <w:rPr>
          <w:noProof/>
          <w:sz w:val="24"/>
          <w:szCs w:val="24"/>
        </w:rPr>
        <w:t>Whereas, Strategic planning is a critical component of successful organizations, which provides clear direction and stability and ensures that the organization’s leadership is responsive to its members;</w:t>
      </w:r>
    </w:p>
    <w:p w14:paraId="20EF3DAD" w14:textId="5C709F11" w:rsidR="00565CD0" w:rsidRPr="006C1C00" w:rsidRDefault="00565CD0" w:rsidP="00333E3B">
      <w:pPr>
        <w:keepNext/>
        <w:keepLines/>
        <w:spacing w:after="120" w:line="240" w:lineRule="auto"/>
        <w:rPr>
          <w:sz w:val="24"/>
          <w:szCs w:val="24"/>
        </w:rPr>
      </w:pPr>
      <w:r w:rsidRPr="00793E43">
        <w:rPr>
          <w:noProof/>
          <w:sz w:val="24"/>
          <w:szCs w:val="24"/>
        </w:rPr>
        <w:t>Whereas, Since the 2018</w:t>
      </w:r>
      <w:r w:rsidR="001F4A0E" w:rsidRPr="00BC6FE1">
        <w:t>–</w:t>
      </w:r>
      <w:r w:rsidRPr="00793E43">
        <w:rPr>
          <w:noProof/>
          <w:sz w:val="24"/>
          <w:szCs w:val="24"/>
        </w:rPr>
        <w:t>2023 Strategic Plan</w:t>
      </w:r>
      <w:r w:rsidRPr="194E0518">
        <w:rPr>
          <w:rStyle w:val="FootnoteReference"/>
          <w:noProof/>
          <w:sz w:val="24"/>
          <w:szCs w:val="24"/>
        </w:rPr>
        <w:footnoteReference w:id="6"/>
      </w:r>
      <w:r w:rsidRPr="00793E43">
        <w:rPr>
          <w:noProof/>
          <w:sz w:val="24"/>
          <w:szCs w:val="24"/>
        </w:rPr>
        <w:t xml:space="preserve"> of the Academic Senate for California Community Colleges (ASCCC) is set to expire in 2023, the ASCCC Executive Committee engaged in comprehensive and public strategic planning sessions from December 2022 through February 2023;</w:t>
      </w:r>
      <w:r>
        <w:rPr>
          <w:rStyle w:val="FootnoteReference"/>
          <w:noProof/>
          <w:sz w:val="24"/>
          <w:szCs w:val="24"/>
        </w:rPr>
        <w:footnoteReference w:id="7"/>
      </w:r>
    </w:p>
    <w:p w14:paraId="151DDF21" w14:textId="77777777" w:rsidR="00565CD0" w:rsidRPr="006C1C00" w:rsidRDefault="00565CD0" w:rsidP="006C1C00">
      <w:pPr>
        <w:spacing w:after="120" w:line="240" w:lineRule="auto"/>
        <w:rPr>
          <w:sz w:val="24"/>
          <w:szCs w:val="24"/>
        </w:rPr>
      </w:pPr>
      <w:r w:rsidRPr="00793E43">
        <w:rPr>
          <w:noProof/>
          <w:sz w:val="24"/>
          <w:szCs w:val="24"/>
        </w:rPr>
        <w:t>Whereas, The Academic Senate for California Community Colleges (ASCCC) Executive Committee considered ASCCC’s mission and vision, resolutions, recommendations from the periodic reviews, as well as current issues impacting academic and professional matters to guide the planning; and</w:t>
      </w:r>
    </w:p>
    <w:p w14:paraId="3605C131" w14:textId="3DB17544" w:rsidR="00565CD0" w:rsidRPr="006C1C00" w:rsidRDefault="00565CD0" w:rsidP="006C1C00">
      <w:pPr>
        <w:spacing w:after="120" w:line="240" w:lineRule="auto"/>
        <w:rPr>
          <w:sz w:val="24"/>
          <w:szCs w:val="24"/>
        </w:rPr>
      </w:pPr>
      <w:r w:rsidRPr="00793E43">
        <w:rPr>
          <w:noProof/>
          <w:sz w:val="24"/>
          <w:szCs w:val="24"/>
        </w:rPr>
        <w:t xml:space="preserve">Whereas, The Academic Senate for California Community Colleges (ASCCC) Executive Committee has proposed the </w:t>
      </w:r>
      <w:r>
        <w:rPr>
          <w:noProof/>
          <w:sz w:val="24"/>
          <w:szCs w:val="24"/>
        </w:rPr>
        <w:t>2023</w:t>
      </w:r>
      <w:r w:rsidR="00A86B6A" w:rsidRPr="00BC6FE1">
        <w:t>–</w:t>
      </w:r>
      <w:r>
        <w:rPr>
          <w:noProof/>
          <w:sz w:val="24"/>
          <w:szCs w:val="24"/>
        </w:rPr>
        <w:t xml:space="preserve">2026 </w:t>
      </w:r>
      <w:r w:rsidRPr="00793E43">
        <w:rPr>
          <w:noProof/>
          <w:sz w:val="24"/>
          <w:szCs w:val="24"/>
        </w:rPr>
        <w:t xml:space="preserve">Strategic </w:t>
      </w:r>
      <w:r>
        <w:rPr>
          <w:noProof/>
          <w:sz w:val="24"/>
          <w:szCs w:val="24"/>
        </w:rPr>
        <w:t>Goals</w:t>
      </w:r>
      <w:r>
        <w:rPr>
          <w:rStyle w:val="FootnoteReference"/>
          <w:noProof/>
          <w:sz w:val="24"/>
          <w:szCs w:val="24"/>
        </w:rPr>
        <w:footnoteReference w:id="8"/>
      </w:r>
      <w:r w:rsidRPr="00793E43">
        <w:rPr>
          <w:noProof/>
          <w:sz w:val="24"/>
          <w:szCs w:val="24"/>
        </w:rPr>
        <w:t xml:space="preserve"> for consideration and adoption by the delegates of the ASCCC</w:t>
      </w:r>
      <w:r w:rsidRPr="194E0518">
        <w:rPr>
          <w:noProof/>
          <w:sz w:val="24"/>
          <w:szCs w:val="24"/>
        </w:rPr>
        <w:t xml:space="preserve"> to be actualized annually through a planning process</w:t>
      </w:r>
      <w:r w:rsidRPr="00793E43">
        <w:rPr>
          <w:noProof/>
          <w:sz w:val="24"/>
          <w:szCs w:val="24"/>
        </w:rPr>
        <w:t>;</w:t>
      </w:r>
    </w:p>
    <w:p w14:paraId="15D1443A" w14:textId="75A162FF" w:rsidR="00565CD0" w:rsidRPr="006C1C00" w:rsidRDefault="00565CD0" w:rsidP="006C1C00">
      <w:pPr>
        <w:spacing w:after="120" w:line="240" w:lineRule="auto"/>
        <w:rPr>
          <w:sz w:val="24"/>
          <w:szCs w:val="24"/>
        </w:rPr>
      </w:pPr>
      <w:r w:rsidRPr="00793E43">
        <w:rPr>
          <w:noProof/>
          <w:sz w:val="24"/>
          <w:szCs w:val="24"/>
        </w:rPr>
        <w:t>Resolved, That the Academic Senate for California Community Colleges adopt the 2023</w:t>
      </w:r>
      <w:r w:rsidR="001F4A0E" w:rsidRPr="00BC6FE1">
        <w:t>–</w:t>
      </w:r>
      <w:r w:rsidRPr="00793E43">
        <w:rPr>
          <w:noProof/>
          <w:sz w:val="24"/>
          <w:szCs w:val="24"/>
        </w:rPr>
        <w:t xml:space="preserve">2026 ASCCC Strategic </w:t>
      </w:r>
      <w:r>
        <w:rPr>
          <w:noProof/>
          <w:sz w:val="24"/>
          <w:szCs w:val="24"/>
        </w:rPr>
        <w:t>Goals</w:t>
      </w:r>
      <w:r w:rsidRPr="00793E43">
        <w:rPr>
          <w:noProof/>
          <w:sz w:val="24"/>
          <w:szCs w:val="24"/>
        </w:rPr>
        <w:t>.</w:t>
      </w:r>
    </w:p>
    <w:p w14:paraId="18332D3B" w14:textId="77777777" w:rsidR="00565CD0" w:rsidRDefault="00565CD0" w:rsidP="00A6250E">
      <w:pPr>
        <w:spacing w:after="240" w:line="240" w:lineRule="auto"/>
      </w:pPr>
      <w:r w:rsidRPr="006C1C00">
        <w:rPr>
          <w:sz w:val="24"/>
          <w:szCs w:val="24"/>
        </w:rPr>
        <w:t xml:space="preserve">Contact: </w:t>
      </w:r>
      <w:r w:rsidRPr="00793E43">
        <w:rPr>
          <w:noProof/>
          <w:sz w:val="24"/>
          <w:szCs w:val="24"/>
        </w:rPr>
        <w:t>Ginni May</w:t>
      </w:r>
      <w:r w:rsidRPr="006C1C00">
        <w:rPr>
          <w:sz w:val="24"/>
          <w:szCs w:val="24"/>
        </w:rPr>
        <w:t xml:space="preserve">, </w:t>
      </w:r>
      <w:r w:rsidRPr="00793E43">
        <w:rPr>
          <w:noProof/>
          <w:sz w:val="24"/>
          <w:szCs w:val="24"/>
        </w:rPr>
        <w:t>Executive Committee</w:t>
      </w:r>
    </w:p>
    <w:p w14:paraId="3059E2A9" w14:textId="5706BAD7" w:rsidR="00565CD0" w:rsidRPr="006C1C00" w:rsidRDefault="00565CD0" w:rsidP="00D47CC5">
      <w:pPr>
        <w:pStyle w:val="ResolutionsTitles"/>
      </w:pPr>
      <w:bookmarkStart w:id="7" w:name="_Toc129872498"/>
      <w:r>
        <w:t>*1.0</w:t>
      </w:r>
      <w:r w:rsidR="00076FEE">
        <w:t>3</w:t>
      </w:r>
      <w:r>
        <w:t xml:space="preserve"> S23  Flexible Area Meetings</w:t>
      </w:r>
      <w:bookmarkEnd w:id="7"/>
    </w:p>
    <w:p w14:paraId="03592DFD" w14:textId="77777777" w:rsidR="00565CD0" w:rsidRPr="006C1C00" w:rsidRDefault="00565CD0" w:rsidP="006C1C00">
      <w:pPr>
        <w:spacing w:after="120" w:line="240" w:lineRule="auto"/>
        <w:rPr>
          <w:sz w:val="24"/>
          <w:szCs w:val="24"/>
        </w:rPr>
      </w:pPr>
      <w:r w:rsidRPr="00793E43">
        <w:rPr>
          <w:noProof/>
          <w:sz w:val="24"/>
          <w:szCs w:val="24"/>
        </w:rPr>
        <w:t>Whereas, The Academic Senate for California Community Colleges Area A and Area B meetings have been consistently held on a Friday, and the Area C and Area D meetings have been consistently held on a Saturday, which is often outside of the traditional work week;</w:t>
      </w:r>
    </w:p>
    <w:p w14:paraId="0F45E60E" w14:textId="77777777" w:rsidR="00565CD0" w:rsidRPr="006C1C00" w:rsidRDefault="00565CD0" w:rsidP="00A86B6A">
      <w:pPr>
        <w:keepNext/>
        <w:keepLines/>
        <w:spacing w:after="120" w:line="240" w:lineRule="auto"/>
        <w:rPr>
          <w:sz w:val="24"/>
          <w:szCs w:val="24"/>
        </w:rPr>
      </w:pPr>
      <w:r w:rsidRPr="00793E43">
        <w:rPr>
          <w:noProof/>
          <w:sz w:val="24"/>
          <w:szCs w:val="24"/>
        </w:rPr>
        <w:lastRenderedPageBreak/>
        <w:t>Resolved, That the Academic Senate for California Community Colleges (ASCCC) explore options for Area meetings that align with the needs and best interest of each individual Area while also balancing logistical considerations of the ASCCC Executive Committee and ASCCC office team starting with the Fall 2023 Area meetings.</w:t>
      </w:r>
    </w:p>
    <w:p w14:paraId="079761D5" w14:textId="383AADC3" w:rsidR="00565CD0" w:rsidRDefault="00565CD0" w:rsidP="00A86B6A">
      <w:pPr>
        <w:keepNext/>
        <w:keepLines/>
        <w:spacing w:after="240" w:line="240" w:lineRule="auto"/>
        <w:rPr>
          <w:noProof/>
          <w:sz w:val="24"/>
          <w:szCs w:val="24"/>
        </w:rPr>
      </w:pPr>
      <w:r w:rsidRPr="006C1C00">
        <w:rPr>
          <w:sz w:val="24"/>
          <w:szCs w:val="24"/>
        </w:rPr>
        <w:t xml:space="preserve">Contact: </w:t>
      </w:r>
      <w:r w:rsidRPr="00793E43">
        <w:rPr>
          <w:noProof/>
          <w:sz w:val="24"/>
          <w:szCs w:val="24"/>
        </w:rPr>
        <w:t>Pablo Martin</w:t>
      </w:r>
      <w:r w:rsidRPr="006C1C00">
        <w:rPr>
          <w:sz w:val="24"/>
          <w:szCs w:val="24"/>
        </w:rPr>
        <w:t xml:space="preserve">, </w:t>
      </w:r>
      <w:r w:rsidRPr="00793E43">
        <w:rPr>
          <w:noProof/>
          <w:sz w:val="24"/>
          <w:szCs w:val="24"/>
        </w:rPr>
        <w:t>San Diego Miramar College</w:t>
      </w:r>
      <w:r w:rsidRPr="006C1C00">
        <w:rPr>
          <w:sz w:val="24"/>
          <w:szCs w:val="24"/>
        </w:rPr>
        <w:t xml:space="preserve">, </w:t>
      </w:r>
      <w:r>
        <w:rPr>
          <w:noProof/>
          <w:sz w:val="24"/>
          <w:szCs w:val="24"/>
        </w:rPr>
        <w:t>Standards and Practices Committee</w:t>
      </w:r>
    </w:p>
    <w:p w14:paraId="3E28DBA5" w14:textId="0EFE5279" w:rsidR="00076FEE" w:rsidRDefault="00D35E88" w:rsidP="00D35E88">
      <w:pPr>
        <w:pStyle w:val="ResolutionsTitle"/>
      </w:pPr>
      <w:bookmarkStart w:id="8" w:name="_Toc129872499"/>
      <w:r>
        <w:t>6.0 State and Legislative Issues</w:t>
      </w:r>
      <w:bookmarkEnd w:id="8"/>
    </w:p>
    <w:p w14:paraId="17F08289" w14:textId="77777777" w:rsidR="00565CD0" w:rsidRPr="006C1C00" w:rsidRDefault="00565CD0" w:rsidP="00D47CC5">
      <w:pPr>
        <w:pStyle w:val="ResolutionsTitles"/>
      </w:pPr>
      <w:bookmarkStart w:id="9" w:name="_Toc129872500"/>
      <w:r>
        <w:t>*6.01 S23  Support AB 607 (Kalra, 2023), If Amended</w:t>
      </w:r>
      <w:bookmarkEnd w:id="9"/>
    </w:p>
    <w:p w14:paraId="00CC82F6" w14:textId="77777777" w:rsidR="00565CD0" w:rsidRPr="006C1C00" w:rsidRDefault="00565CD0" w:rsidP="00565CD0">
      <w:pPr>
        <w:keepNext/>
        <w:keepLines/>
        <w:spacing w:after="120" w:line="240" w:lineRule="auto"/>
        <w:rPr>
          <w:noProof/>
          <w:sz w:val="24"/>
          <w:szCs w:val="24"/>
        </w:rPr>
      </w:pPr>
      <w:r w:rsidRPr="00793E43">
        <w:rPr>
          <w:noProof/>
          <w:sz w:val="24"/>
          <w:szCs w:val="24"/>
        </w:rPr>
        <w:t>Whereas, AB 607 (Kalra, as of February 17, 2023)</w:t>
      </w:r>
      <w:r>
        <w:rPr>
          <w:rStyle w:val="FootnoteReference"/>
          <w:noProof/>
          <w:sz w:val="24"/>
          <w:szCs w:val="24"/>
        </w:rPr>
        <w:footnoteReference w:id="9"/>
      </w:r>
      <w:r w:rsidRPr="00793E43">
        <w:rPr>
          <w:noProof/>
          <w:sz w:val="24"/>
          <w:szCs w:val="24"/>
        </w:rPr>
        <w:t xml:space="preserve"> proposes to modify California Education Code §66406.9</w:t>
      </w:r>
      <w:r>
        <w:rPr>
          <w:rStyle w:val="FootnoteReference"/>
          <w:noProof/>
          <w:sz w:val="24"/>
          <w:szCs w:val="24"/>
        </w:rPr>
        <w:footnoteReference w:id="10"/>
      </w:r>
      <w:r w:rsidRPr="00793E43">
        <w:rPr>
          <w:noProof/>
          <w:sz w:val="24"/>
          <w:szCs w:val="24"/>
        </w:rPr>
        <w:t xml:space="preserve"> by adding the requirement that the California Community Colleges “prominently display, by means that may include a link to a separate internet web page, the estimated costs for each course of all required course materials and fees directly related to those materials, for no less than 75 percent of the total number of courses on the online campus course schedule. 'Course materials' as used in this paragraph includes digital or physical textbooks, devices such as calculators and remote attendance platforms, and software subscriptions”;</w:t>
      </w:r>
    </w:p>
    <w:p w14:paraId="40C8CBE4" w14:textId="77777777" w:rsidR="00565CD0" w:rsidRPr="006C1C00" w:rsidRDefault="00565CD0" w:rsidP="00565CD0">
      <w:pPr>
        <w:spacing w:after="120" w:line="240" w:lineRule="auto"/>
        <w:rPr>
          <w:noProof/>
          <w:sz w:val="24"/>
          <w:szCs w:val="24"/>
        </w:rPr>
      </w:pPr>
      <w:r w:rsidRPr="00793E43">
        <w:rPr>
          <w:noProof/>
          <w:sz w:val="24"/>
          <w:szCs w:val="24"/>
        </w:rPr>
        <w:t>Whereas, California Education Code §66406.9</w:t>
      </w:r>
      <w:r>
        <w:rPr>
          <w:rStyle w:val="FootnoteReference"/>
          <w:noProof/>
          <w:sz w:val="24"/>
          <w:szCs w:val="24"/>
        </w:rPr>
        <w:footnoteReference w:id="11"/>
      </w:r>
      <w:r w:rsidRPr="00793E43">
        <w:rPr>
          <w:noProof/>
          <w:sz w:val="24"/>
          <w:szCs w:val="24"/>
        </w:rPr>
        <w:t xml:space="preserve"> currently uses the term “course materials” and “digital course materials” to refer to course resources that are exclusive of devices and supplies such as calculators;</w:t>
      </w:r>
    </w:p>
    <w:p w14:paraId="7242D054" w14:textId="77777777" w:rsidR="00565CD0" w:rsidRPr="006C1C00" w:rsidRDefault="00565CD0" w:rsidP="00565CD0">
      <w:pPr>
        <w:spacing w:after="120" w:line="240" w:lineRule="auto"/>
        <w:rPr>
          <w:sz w:val="24"/>
          <w:szCs w:val="24"/>
        </w:rPr>
      </w:pPr>
      <w:r w:rsidRPr="00793E43">
        <w:rPr>
          <w:noProof/>
          <w:sz w:val="24"/>
          <w:szCs w:val="24"/>
        </w:rPr>
        <w:t>Whereas, Resolution F20 20.02 Ensure Course Cost Transparency for Students encourages “local academic senates to advocate for the implementation of a process for consistent, clear, and transparent messaging to students prior to registration regarding all material and supply costs in appropriate locations including the schedule of classes and the bookstore”</w:t>
      </w:r>
      <w:r>
        <w:rPr>
          <w:rStyle w:val="FootnoteReference"/>
          <w:noProof/>
          <w:sz w:val="24"/>
          <w:szCs w:val="24"/>
        </w:rPr>
        <w:footnoteReference w:id="12"/>
      </w:r>
      <w:r w:rsidRPr="00793E43">
        <w:rPr>
          <w:noProof/>
          <w:sz w:val="24"/>
          <w:szCs w:val="24"/>
        </w:rPr>
        <w:t>; and</w:t>
      </w:r>
    </w:p>
    <w:p w14:paraId="083F1E68" w14:textId="77777777" w:rsidR="00565CD0" w:rsidRPr="006C1C00" w:rsidRDefault="00565CD0" w:rsidP="00565CD0">
      <w:pPr>
        <w:spacing w:after="120" w:line="240" w:lineRule="auto"/>
        <w:rPr>
          <w:sz w:val="24"/>
          <w:szCs w:val="24"/>
        </w:rPr>
      </w:pPr>
      <w:r w:rsidRPr="00793E43">
        <w:rPr>
          <w:noProof/>
          <w:sz w:val="24"/>
          <w:szCs w:val="24"/>
        </w:rPr>
        <w:t>Whereas, California Code of Regulations, title 5 §59402</w:t>
      </w:r>
      <w:r>
        <w:rPr>
          <w:rStyle w:val="FootnoteReference"/>
          <w:noProof/>
          <w:sz w:val="24"/>
          <w:szCs w:val="24"/>
        </w:rPr>
        <w:footnoteReference w:id="13"/>
      </w:r>
      <w:r w:rsidRPr="00793E43">
        <w:rPr>
          <w:noProof/>
          <w:sz w:val="24"/>
          <w:szCs w:val="24"/>
        </w:rPr>
        <w:t xml:space="preserve"> states that required instructional materials “means any materials which a student must procure or possess as a condition of registration, enrollment or entry into a class; or any such material which is necessary to achieve the required objectives of a course,” establishing “instructional materials” as inclusive of textbooks, supplemental materials, and course supplies;</w:t>
      </w:r>
    </w:p>
    <w:p w14:paraId="787E20DE" w14:textId="49A73AE8" w:rsidR="00565CD0" w:rsidRDefault="00565CD0" w:rsidP="00C74ECF">
      <w:pPr>
        <w:keepNext/>
        <w:keepLines/>
        <w:spacing w:after="120" w:line="240" w:lineRule="auto"/>
        <w:rPr>
          <w:noProof/>
          <w:sz w:val="24"/>
          <w:szCs w:val="24"/>
        </w:rPr>
      </w:pPr>
      <w:r w:rsidRPr="002332FE">
        <w:rPr>
          <w:noProof/>
          <w:sz w:val="24"/>
          <w:szCs w:val="24"/>
        </w:rPr>
        <w:lastRenderedPageBreak/>
        <w:t>Resolved, That the Academic Senate for California Community Colleges support AB 607 (Kalra, as of February 17, 2023), if amended: amend “course materials” to “instructional materials” to ensure that definitions within California Education Code §66406.9</w:t>
      </w:r>
      <w:r w:rsidRPr="5906F1B2">
        <w:rPr>
          <w:rStyle w:val="FootnoteReference"/>
          <w:noProof/>
          <w:sz w:val="24"/>
          <w:szCs w:val="24"/>
        </w:rPr>
        <w:footnoteReference w:id="14"/>
      </w:r>
      <w:r w:rsidRPr="5906F1B2">
        <w:rPr>
          <w:noProof/>
          <w:sz w:val="24"/>
          <w:szCs w:val="24"/>
        </w:rPr>
        <w:t xml:space="preserve"> </w:t>
      </w:r>
      <w:r w:rsidRPr="002332FE">
        <w:rPr>
          <w:noProof/>
          <w:sz w:val="24"/>
          <w:szCs w:val="24"/>
        </w:rPr>
        <w:t>are consistent to prevent the introduction of a definition into law that is inconsistent with a definition that is presently in regulation.</w:t>
      </w:r>
    </w:p>
    <w:p w14:paraId="50E90EFB" w14:textId="4DAEB53D" w:rsidR="00565CD0" w:rsidRDefault="00565CD0" w:rsidP="00C74ECF">
      <w:pPr>
        <w:keepNext/>
        <w:keepLines/>
        <w:spacing w:after="240" w:line="240" w:lineRule="auto"/>
        <w:rPr>
          <w:noProof/>
          <w:sz w:val="24"/>
          <w:szCs w:val="24"/>
        </w:rPr>
      </w:pPr>
      <w:r w:rsidRPr="006C1C00">
        <w:rPr>
          <w:sz w:val="24"/>
          <w:szCs w:val="24"/>
        </w:rPr>
        <w:t xml:space="preserve">Contact: </w:t>
      </w:r>
      <w:r w:rsidRPr="00793E43">
        <w:rPr>
          <w:noProof/>
          <w:sz w:val="24"/>
          <w:szCs w:val="24"/>
        </w:rPr>
        <w:t>Michelle Pilati</w:t>
      </w:r>
      <w:r w:rsidRPr="006C1C00">
        <w:rPr>
          <w:sz w:val="24"/>
          <w:szCs w:val="24"/>
        </w:rPr>
        <w:t xml:space="preserve">, </w:t>
      </w:r>
      <w:r w:rsidRPr="00793E43">
        <w:rPr>
          <w:noProof/>
          <w:sz w:val="24"/>
          <w:szCs w:val="24"/>
        </w:rPr>
        <w:t>Open Educational Resources Initiative</w:t>
      </w:r>
    </w:p>
    <w:p w14:paraId="426BB15D" w14:textId="1B992FEC" w:rsidR="00D35E88" w:rsidRPr="00565CD0" w:rsidRDefault="002975B3" w:rsidP="002975B3">
      <w:pPr>
        <w:pStyle w:val="ResolutionsTitle"/>
      </w:pPr>
      <w:bookmarkStart w:id="10" w:name="_Toc129872501"/>
      <w:r>
        <w:t>7.0 Consultation with the Chancellor’s Office</w:t>
      </w:r>
      <w:bookmarkEnd w:id="10"/>
    </w:p>
    <w:p w14:paraId="136EC729" w14:textId="2D86D6A8" w:rsidR="00565CD0" w:rsidRPr="006C1C00" w:rsidRDefault="00565CD0" w:rsidP="00D47CC5">
      <w:pPr>
        <w:pStyle w:val="ResolutionsTitles"/>
      </w:pPr>
      <w:bookmarkStart w:id="11" w:name="_Toc129872502"/>
      <w:r>
        <w:t>*7.01 S23  Destigmatize Academic Probation Language and Processes</w:t>
      </w:r>
      <w:bookmarkEnd w:id="11"/>
    </w:p>
    <w:p w14:paraId="1BDB3475" w14:textId="77777777" w:rsidR="00565CD0" w:rsidRPr="006C1C00" w:rsidRDefault="00565CD0" w:rsidP="00565CD0">
      <w:pPr>
        <w:spacing w:after="120" w:line="240" w:lineRule="auto"/>
        <w:rPr>
          <w:sz w:val="24"/>
          <w:szCs w:val="24"/>
        </w:rPr>
      </w:pPr>
      <w:r w:rsidRPr="00793E43">
        <w:rPr>
          <w:noProof/>
          <w:sz w:val="24"/>
          <w:szCs w:val="24"/>
        </w:rPr>
        <w:t xml:space="preserve">Whereas, Current </w:t>
      </w:r>
      <w:r>
        <w:rPr>
          <w:noProof/>
          <w:sz w:val="24"/>
          <w:szCs w:val="24"/>
        </w:rPr>
        <w:t xml:space="preserve">California Code of Regulations, </w:t>
      </w:r>
      <w:r w:rsidRPr="00793E43">
        <w:rPr>
          <w:noProof/>
          <w:sz w:val="24"/>
          <w:szCs w:val="24"/>
        </w:rPr>
        <w:t>title 5, §55031 Standards for Probation</w:t>
      </w:r>
      <w:r>
        <w:rPr>
          <w:rStyle w:val="FootnoteReference"/>
          <w:noProof/>
          <w:sz w:val="24"/>
          <w:szCs w:val="24"/>
        </w:rPr>
        <w:footnoteReference w:id="15"/>
      </w:r>
      <w:r w:rsidRPr="00793E43">
        <w:rPr>
          <w:noProof/>
          <w:sz w:val="24"/>
          <w:szCs w:val="24"/>
        </w:rPr>
        <w:t xml:space="preserve"> requires colleges to place students on Academic or Progress Probation if they fall below Grade Point Average (GPA) or successful course completion standards;</w:t>
      </w:r>
    </w:p>
    <w:p w14:paraId="437827B3" w14:textId="77777777" w:rsidR="00565CD0" w:rsidRPr="006C1C00" w:rsidRDefault="00565CD0" w:rsidP="00565CD0">
      <w:pPr>
        <w:spacing w:after="120" w:line="240" w:lineRule="auto"/>
        <w:rPr>
          <w:sz w:val="24"/>
          <w:szCs w:val="24"/>
        </w:rPr>
      </w:pPr>
      <w:r w:rsidRPr="00793E43">
        <w:rPr>
          <w:noProof/>
          <w:sz w:val="24"/>
          <w:szCs w:val="24"/>
        </w:rPr>
        <w:t>Whereas, The term “probation” is a deficit-minded principle that is associated with criminal activity and this term and current practices are perpetuating trauma for students who identify as Black, Indigenous, People of Color (BIPOC) as well as justice-impacted students;</w:t>
      </w:r>
      <w:r>
        <w:rPr>
          <w:rStyle w:val="FootnoteReference"/>
          <w:noProof/>
          <w:sz w:val="24"/>
          <w:szCs w:val="24"/>
        </w:rPr>
        <w:footnoteReference w:id="16"/>
      </w:r>
    </w:p>
    <w:p w14:paraId="7397C488" w14:textId="2953E301" w:rsidR="00565CD0" w:rsidRPr="006C1C00" w:rsidRDefault="00565CD0" w:rsidP="00565CD0">
      <w:pPr>
        <w:spacing w:after="120" w:line="240" w:lineRule="auto"/>
        <w:rPr>
          <w:sz w:val="24"/>
          <w:szCs w:val="24"/>
        </w:rPr>
      </w:pPr>
      <w:r w:rsidRPr="00793E43">
        <w:rPr>
          <w:noProof/>
          <w:sz w:val="24"/>
          <w:szCs w:val="24"/>
        </w:rPr>
        <w:t xml:space="preserve">Whereas, Studies such as the Research and Planning Group's </w:t>
      </w:r>
      <w:r w:rsidRPr="194E0518">
        <w:rPr>
          <w:i/>
          <w:iCs/>
          <w:noProof/>
          <w:sz w:val="24"/>
          <w:szCs w:val="24"/>
        </w:rPr>
        <w:t>The African American</w:t>
      </w:r>
      <w:r w:rsidR="007B1EA4">
        <w:rPr>
          <w:i/>
          <w:iCs/>
          <w:noProof/>
          <w:sz w:val="24"/>
          <w:szCs w:val="24"/>
        </w:rPr>
        <w:t xml:space="preserve"> Transfer</w:t>
      </w:r>
      <w:r w:rsidRPr="194E0518">
        <w:rPr>
          <w:i/>
          <w:iCs/>
          <w:noProof/>
          <w:sz w:val="24"/>
          <w:szCs w:val="24"/>
        </w:rPr>
        <w:t xml:space="preserve"> Tipping Point: Identifying the Factors that Impact Transfer Among African American/Black Community College Students</w:t>
      </w:r>
      <w:r w:rsidRPr="00793E43">
        <w:rPr>
          <w:noProof/>
          <w:sz w:val="24"/>
          <w:szCs w:val="24"/>
        </w:rPr>
        <w:t xml:space="preserve"> (2022) show that being put on academic probation “presents a significant barrier to making it near the transfer gate for students of all races/ethnicities”</w:t>
      </w:r>
      <w:r>
        <w:rPr>
          <w:rStyle w:val="FootnoteReference"/>
          <w:noProof/>
          <w:sz w:val="24"/>
          <w:szCs w:val="24"/>
        </w:rPr>
        <w:footnoteReference w:id="17"/>
      </w:r>
      <w:r w:rsidRPr="00793E43">
        <w:rPr>
          <w:noProof/>
          <w:sz w:val="24"/>
          <w:szCs w:val="24"/>
        </w:rPr>
        <w:t>; and</w:t>
      </w:r>
    </w:p>
    <w:p w14:paraId="205B92B0" w14:textId="77777777" w:rsidR="00565CD0" w:rsidRDefault="00565CD0" w:rsidP="00565CD0">
      <w:pPr>
        <w:spacing w:after="120" w:line="240" w:lineRule="auto"/>
        <w:rPr>
          <w:noProof/>
          <w:sz w:val="24"/>
          <w:szCs w:val="24"/>
        </w:rPr>
      </w:pPr>
      <w:r w:rsidRPr="00A6250E">
        <w:rPr>
          <w:noProof/>
          <w:sz w:val="24"/>
          <w:szCs w:val="24"/>
        </w:rPr>
        <w:t>Whereas, The R</w:t>
      </w:r>
      <w:r>
        <w:rPr>
          <w:noProof/>
          <w:sz w:val="24"/>
          <w:szCs w:val="24"/>
        </w:rPr>
        <w:t xml:space="preserve">esearch and Planning </w:t>
      </w:r>
      <w:r w:rsidRPr="00A6250E">
        <w:rPr>
          <w:noProof/>
          <w:sz w:val="24"/>
          <w:szCs w:val="24"/>
        </w:rPr>
        <w:t>Group study also showed that practices like putting students on academic and/or progress probation disproportionally impacted Black students as they found that 41% of Black students were placed on probation versus 24% of white students in California Community Colleges from 2011 and 2016;</w:t>
      </w:r>
      <w:r>
        <w:rPr>
          <w:rStyle w:val="FootnoteReference"/>
          <w:noProof/>
          <w:sz w:val="24"/>
          <w:szCs w:val="24"/>
        </w:rPr>
        <w:footnoteReference w:id="18"/>
      </w:r>
    </w:p>
    <w:p w14:paraId="74173862" w14:textId="77777777" w:rsidR="00565CD0" w:rsidRPr="006C1C00" w:rsidRDefault="00565CD0" w:rsidP="00565CD0">
      <w:pPr>
        <w:spacing w:after="120" w:line="240" w:lineRule="auto"/>
        <w:rPr>
          <w:sz w:val="24"/>
          <w:szCs w:val="24"/>
        </w:rPr>
      </w:pPr>
      <w:r w:rsidRPr="00793E43">
        <w:rPr>
          <w:noProof/>
          <w:sz w:val="24"/>
          <w:szCs w:val="24"/>
        </w:rPr>
        <w:t>Resolved, That the Academic Senate for California Community Colleges work with the California Community Colleges Chancellor’s Office to overhaul the title 5 language on probation including a name change and updating the language and processes to be asset-minded, not punitive; and</w:t>
      </w:r>
    </w:p>
    <w:p w14:paraId="39DB0EA0" w14:textId="28B1C815" w:rsidR="00565CD0" w:rsidRPr="006C1C00" w:rsidRDefault="00565CD0" w:rsidP="00C74ECF">
      <w:pPr>
        <w:keepNext/>
        <w:keepLines/>
        <w:spacing w:after="120" w:line="240" w:lineRule="auto"/>
        <w:rPr>
          <w:sz w:val="24"/>
          <w:szCs w:val="24"/>
        </w:rPr>
      </w:pPr>
      <w:r w:rsidRPr="194E0518">
        <w:rPr>
          <w:noProof/>
          <w:sz w:val="24"/>
          <w:szCs w:val="24"/>
        </w:rPr>
        <w:lastRenderedPageBreak/>
        <w:t>Resolved, That the Academic Senate for California Community Colleges support local academic senates with professional development and resources to encourage reviewing local policies and practices with an aim of mitigating local processes that may negatively impact students who are on academic and/or progress probation while title 5 changes are in progress.</w:t>
      </w:r>
    </w:p>
    <w:p w14:paraId="23CCCFE4" w14:textId="77777777" w:rsidR="00565CD0" w:rsidRPr="00A6250E" w:rsidRDefault="00565CD0" w:rsidP="00C74ECF">
      <w:pPr>
        <w:keepNext/>
        <w:keepLines/>
        <w:spacing w:after="240" w:line="240" w:lineRule="auto"/>
        <w:rPr>
          <w:noProof/>
          <w:sz w:val="24"/>
          <w:szCs w:val="24"/>
        </w:rPr>
      </w:pPr>
      <w:r w:rsidRPr="006C1C00">
        <w:rPr>
          <w:sz w:val="24"/>
          <w:szCs w:val="24"/>
        </w:rPr>
        <w:t xml:space="preserve">Contact: </w:t>
      </w:r>
      <w:r w:rsidRPr="00793E43">
        <w:rPr>
          <w:noProof/>
          <w:sz w:val="24"/>
          <w:szCs w:val="24"/>
        </w:rPr>
        <w:t>Stephanie Curry</w:t>
      </w:r>
      <w:r w:rsidRPr="006C1C00">
        <w:rPr>
          <w:sz w:val="24"/>
          <w:szCs w:val="24"/>
        </w:rPr>
        <w:t xml:space="preserve">, </w:t>
      </w:r>
      <w:r>
        <w:rPr>
          <w:noProof/>
          <w:sz w:val="24"/>
          <w:szCs w:val="24"/>
        </w:rPr>
        <w:t>Executive Committee</w:t>
      </w:r>
      <w:r w:rsidRPr="006C1C00">
        <w:rPr>
          <w:sz w:val="24"/>
          <w:szCs w:val="24"/>
        </w:rPr>
        <w:t xml:space="preserve">, </w:t>
      </w:r>
      <w:r w:rsidRPr="00793E43">
        <w:rPr>
          <w:noProof/>
          <w:sz w:val="24"/>
          <w:szCs w:val="24"/>
        </w:rPr>
        <w:t>Transfer, Articulation, and Student Services Committee</w:t>
      </w:r>
    </w:p>
    <w:p w14:paraId="03502769" w14:textId="77777777" w:rsidR="00565CD0" w:rsidRPr="006C1C00" w:rsidRDefault="00565CD0" w:rsidP="00D47CC5">
      <w:pPr>
        <w:pStyle w:val="ResolutionsTitles"/>
      </w:pPr>
      <w:bookmarkStart w:id="12" w:name="_Toc129872503"/>
      <w:r>
        <w:t>*7.02 S23  Replace TOP Code with CIP Code</w:t>
      </w:r>
      <w:bookmarkEnd w:id="12"/>
    </w:p>
    <w:p w14:paraId="3504A8DC" w14:textId="77777777" w:rsidR="00565CD0" w:rsidRPr="006C1C00" w:rsidRDefault="00565CD0" w:rsidP="00565CD0">
      <w:pPr>
        <w:keepLines/>
        <w:spacing w:after="120" w:line="240" w:lineRule="auto"/>
        <w:rPr>
          <w:noProof/>
          <w:sz w:val="24"/>
          <w:szCs w:val="24"/>
        </w:rPr>
      </w:pPr>
      <w:r w:rsidRPr="00793E43">
        <w:rPr>
          <w:noProof/>
          <w:sz w:val="24"/>
          <w:szCs w:val="24"/>
        </w:rPr>
        <w:t>Whereas, The California Community Colleges system has made numerous unsuccessful efforts in the past decade to move the system of identifying programs/courses with the Taxonomy of Programs (TOP) codes to Classification of Instructional Programs (CIP) codes</w:t>
      </w:r>
      <w:r>
        <w:rPr>
          <w:rStyle w:val="FootnoteReference"/>
          <w:noProof/>
          <w:sz w:val="24"/>
          <w:szCs w:val="24"/>
        </w:rPr>
        <w:footnoteReference w:id="19"/>
      </w:r>
      <w:r w:rsidRPr="00793E43">
        <w:rPr>
          <w:noProof/>
          <w:sz w:val="24"/>
          <w:szCs w:val="24"/>
        </w:rPr>
        <w:t xml:space="preserve">;  </w:t>
      </w:r>
    </w:p>
    <w:p w14:paraId="0ECEBEDE" w14:textId="77777777" w:rsidR="00565CD0" w:rsidRPr="006C1C00" w:rsidRDefault="00565CD0" w:rsidP="00565CD0">
      <w:pPr>
        <w:spacing w:after="120" w:line="240" w:lineRule="auto"/>
        <w:rPr>
          <w:sz w:val="24"/>
          <w:szCs w:val="24"/>
        </w:rPr>
      </w:pPr>
      <w:r w:rsidRPr="194E0518">
        <w:rPr>
          <w:noProof/>
          <w:sz w:val="24"/>
          <w:szCs w:val="24"/>
        </w:rPr>
        <w:t xml:space="preserve">Whereas, The 2004 Taxonomy of Programs (TOP) manual is outdated and not aligned with the </w:t>
      </w:r>
      <w:r w:rsidRPr="194E0518">
        <w:rPr>
          <w:i/>
          <w:iCs/>
          <w:noProof/>
          <w:sz w:val="24"/>
          <w:szCs w:val="24"/>
        </w:rPr>
        <w:t>Program and Course Approval Handbook</w:t>
      </w:r>
      <w:r w:rsidRPr="194E0518">
        <w:rPr>
          <w:noProof/>
          <w:sz w:val="24"/>
          <w:szCs w:val="24"/>
        </w:rPr>
        <w:t xml:space="preserve"> (PCAH) and converting to the Classification of Instructional Programs (CIP) codes will align California Community Colleges with other educational partners and employment data outcomes, while eliminating the issues with the PCAH, such as Career Technical Education (CTE) limited TOP codes, incongruence with non-CTE degree or certificate outcomes, and mismatched terminology; and</w:t>
      </w:r>
    </w:p>
    <w:p w14:paraId="2C7D04F2" w14:textId="77777777" w:rsidR="00565CD0" w:rsidRPr="006C1C00" w:rsidRDefault="00565CD0" w:rsidP="00565CD0">
      <w:pPr>
        <w:spacing w:after="120" w:line="240" w:lineRule="auto"/>
        <w:rPr>
          <w:sz w:val="24"/>
          <w:szCs w:val="24"/>
        </w:rPr>
      </w:pPr>
      <w:r w:rsidRPr="194E0518">
        <w:rPr>
          <w:noProof/>
          <w:sz w:val="24"/>
          <w:szCs w:val="24"/>
        </w:rPr>
        <w:t>Whereas, The California Community College Curriculum Committee in conjunction with West Ed and the Centers for Excellence and other system stakeholders have already been in discussions regarding the steps and factors that would be necessary to convert from the use of Taxonomy of Programs code to Classification of Instructional Programs code in the California community colleges and have made significant progress but not with all colleges/districts and programs;</w:t>
      </w:r>
    </w:p>
    <w:p w14:paraId="53337787" w14:textId="40A6CD0E" w:rsidR="00565CD0" w:rsidRPr="006C1C00" w:rsidRDefault="00565CD0" w:rsidP="00565CD0">
      <w:pPr>
        <w:spacing w:after="120" w:line="240" w:lineRule="auto"/>
        <w:rPr>
          <w:sz w:val="24"/>
          <w:szCs w:val="24"/>
        </w:rPr>
      </w:pPr>
      <w:r w:rsidRPr="00793E43">
        <w:rPr>
          <w:noProof/>
          <w:sz w:val="24"/>
          <w:szCs w:val="24"/>
        </w:rPr>
        <w:t xml:space="preserve">Resolved, that the Academic Senate for California Community Colleges work with the </w:t>
      </w:r>
      <w:r w:rsidR="00852726">
        <w:rPr>
          <w:noProof/>
          <w:sz w:val="24"/>
          <w:szCs w:val="24"/>
        </w:rPr>
        <w:t xml:space="preserve">California Community Colleges </w:t>
      </w:r>
      <w:r w:rsidRPr="00793E43">
        <w:rPr>
          <w:noProof/>
          <w:sz w:val="24"/>
          <w:szCs w:val="24"/>
        </w:rPr>
        <w:t>Chancellor's Office to develop a strategy, work plan, and timeline for switching course and award codes from Taxonomy of Programs (TOP) code to Classification of Instructional Programs code while considering how this change will affect Guided Pathways-related program mapping, Chancellor’s Office Curriculum Inventory specifications, local and statewide Management Information System structures, technical assistance requirements, and implications of TOP code conversion for other use; and</w:t>
      </w:r>
    </w:p>
    <w:p w14:paraId="787D580C" w14:textId="183B1DB8" w:rsidR="00565CD0" w:rsidRPr="006C1C00" w:rsidRDefault="00565CD0" w:rsidP="00C74ECF">
      <w:pPr>
        <w:keepNext/>
        <w:keepLines/>
        <w:spacing w:after="120" w:line="240" w:lineRule="auto"/>
        <w:rPr>
          <w:sz w:val="24"/>
          <w:szCs w:val="24"/>
        </w:rPr>
      </w:pPr>
      <w:r w:rsidRPr="5906F1B2">
        <w:rPr>
          <w:noProof/>
          <w:sz w:val="24"/>
          <w:szCs w:val="24"/>
        </w:rPr>
        <w:lastRenderedPageBreak/>
        <w:t xml:space="preserve">Resolved, That the Academic Senate for California Community Colleges recommend the </w:t>
      </w:r>
      <w:r w:rsidR="00A27AF2">
        <w:rPr>
          <w:noProof/>
          <w:sz w:val="24"/>
          <w:szCs w:val="24"/>
        </w:rPr>
        <w:t xml:space="preserve">California Community Colleges </w:t>
      </w:r>
      <w:r w:rsidRPr="5906F1B2">
        <w:rPr>
          <w:noProof/>
          <w:sz w:val="24"/>
          <w:szCs w:val="24"/>
        </w:rPr>
        <w:t xml:space="preserve">Chancellor’s Office create a taskforce to </w:t>
      </w:r>
      <w:r>
        <w:rPr>
          <w:noProof/>
          <w:sz w:val="24"/>
          <w:szCs w:val="24"/>
        </w:rPr>
        <w:t>finalize</w:t>
      </w:r>
      <w:r w:rsidRPr="5906F1B2">
        <w:rPr>
          <w:noProof/>
          <w:sz w:val="24"/>
          <w:szCs w:val="24"/>
        </w:rPr>
        <w:t xml:space="preserve"> </w:t>
      </w:r>
      <w:r>
        <w:rPr>
          <w:noProof/>
          <w:sz w:val="24"/>
          <w:szCs w:val="24"/>
        </w:rPr>
        <w:t>the plan of action</w:t>
      </w:r>
      <w:r>
        <w:rPr>
          <w:rStyle w:val="FootnoteReference"/>
          <w:noProof/>
          <w:sz w:val="24"/>
          <w:szCs w:val="24"/>
        </w:rPr>
        <w:footnoteReference w:id="20"/>
      </w:r>
      <w:r>
        <w:rPr>
          <w:noProof/>
          <w:sz w:val="24"/>
          <w:szCs w:val="24"/>
        </w:rPr>
        <w:t xml:space="preserve"> by fall of 2024 and set </w:t>
      </w:r>
      <w:r w:rsidRPr="5906F1B2">
        <w:rPr>
          <w:noProof/>
          <w:sz w:val="24"/>
          <w:szCs w:val="24"/>
        </w:rPr>
        <w:t>a</w:t>
      </w:r>
      <w:r w:rsidR="00F007E6">
        <w:rPr>
          <w:noProof/>
          <w:sz w:val="24"/>
          <w:szCs w:val="24"/>
        </w:rPr>
        <w:t xml:space="preserve"> completion date </w:t>
      </w:r>
      <w:r w:rsidRPr="5906F1B2">
        <w:rPr>
          <w:noProof/>
          <w:sz w:val="24"/>
          <w:szCs w:val="24"/>
        </w:rPr>
        <w:t>for discontinuing Taxonomy of Programs code and convert to Classification of Instructional Programs codes.</w:t>
      </w:r>
    </w:p>
    <w:p w14:paraId="60FE361C" w14:textId="1F37A5A2" w:rsidR="00565CD0" w:rsidRDefault="00565CD0" w:rsidP="00C74ECF">
      <w:pPr>
        <w:keepNext/>
        <w:keepLines/>
        <w:spacing w:after="240" w:line="240" w:lineRule="auto"/>
        <w:rPr>
          <w:noProof/>
          <w:sz w:val="24"/>
          <w:szCs w:val="24"/>
        </w:rPr>
      </w:pPr>
      <w:r w:rsidRPr="006C1C00">
        <w:rPr>
          <w:sz w:val="24"/>
          <w:szCs w:val="24"/>
        </w:rPr>
        <w:t xml:space="preserve">Contact: </w:t>
      </w:r>
      <w:r w:rsidRPr="00793E43">
        <w:rPr>
          <w:noProof/>
          <w:sz w:val="24"/>
          <w:szCs w:val="24"/>
        </w:rPr>
        <w:t>Carrie Roberson</w:t>
      </w:r>
      <w:r w:rsidRPr="006C1C00">
        <w:rPr>
          <w:sz w:val="24"/>
          <w:szCs w:val="24"/>
        </w:rPr>
        <w:t xml:space="preserve">, </w:t>
      </w:r>
      <w:r w:rsidRPr="00793E43">
        <w:rPr>
          <w:noProof/>
          <w:sz w:val="24"/>
          <w:szCs w:val="24"/>
        </w:rPr>
        <w:t>Executive Committee</w:t>
      </w:r>
      <w:r w:rsidRPr="006C1C00">
        <w:rPr>
          <w:sz w:val="24"/>
          <w:szCs w:val="24"/>
        </w:rPr>
        <w:t xml:space="preserve">, </w:t>
      </w:r>
      <w:r w:rsidRPr="00793E43">
        <w:rPr>
          <w:noProof/>
          <w:sz w:val="24"/>
          <w:szCs w:val="24"/>
        </w:rPr>
        <w:t>CTE Leadership Committee</w:t>
      </w:r>
    </w:p>
    <w:p w14:paraId="763FECCA" w14:textId="7AC0C050" w:rsidR="002975B3" w:rsidRPr="00116FC6" w:rsidRDefault="002F0B7A" w:rsidP="00BB2E09">
      <w:pPr>
        <w:pStyle w:val="ResolutionsTitle"/>
      </w:pPr>
      <w:bookmarkStart w:id="13" w:name="_Toc129872504"/>
      <w:r w:rsidRPr="00116FC6">
        <w:t>10.0 Disciplines List</w:t>
      </w:r>
      <w:bookmarkEnd w:id="13"/>
    </w:p>
    <w:p w14:paraId="2BAC3312" w14:textId="5ED0404F" w:rsidR="00565CD0" w:rsidRPr="00116FC6" w:rsidRDefault="00565CD0" w:rsidP="00D47CC5">
      <w:pPr>
        <w:pStyle w:val="ResolutionsTitles"/>
      </w:pPr>
      <w:bookmarkStart w:id="14" w:name="_Toc129872505"/>
      <w:r w:rsidRPr="00116FC6">
        <w:t>*10.01 S23  Disciplines List–Ethnic Studies</w:t>
      </w:r>
      <w:bookmarkEnd w:id="14"/>
    </w:p>
    <w:p w14:paraId="083007C5" w14:textId="77777777" w:rsidR="00565CD0" w:rsidRPr="00793E43" w:rsidRDefault="00565CD0" w:rsidP="00565CD0">
      <w:pPr>
        <w:keepNext/>
        <w:keepLines/>
        <w:spacing w:after="120" w:line="240" w:lineRule="auto"/>
        <w:rPr>
          <w:noProof/>
          <w:sz w:val="24"/>
          <w:szCs w:val="24"/>
        </w:rPr>
      </w:pPr>
      <w:r w:rsidRPr="00793E43">
        <w:rPr>
          <w:noProof/>
          <w:sz w:val="24"/>
          <w:szCs w:val="24"/>
        </w:rPr>
        <w:t xml:space="preserve">Whereas, Oral and written testimony given through the consultation process used for the review of </w:t>
      </w:r>
      <w:r w:rsidRPr="00D70F09">
        <w:rPr>
          <w:i/>
          <w:iCs/>
          <w:noProof/>
          <w:sz w:val="24"/>
          <w:szCs w:val="24"/>
        </w:rPr>
        <w:t>Minimum Qualifications for Faculty and Administrators in California Community Colleges</w:t>
      </w:r>
      <w:r w:rsidRPr="00793E43">
        <w:rPr>
          <w:noProof/>
          <w:sz w:val="24"/>
          <w:szCs w:val="24"/>
        </w:rPr>
        <w:t>, also known as the Disciplines List, supported the following revision of the Ethnic Studies discipline:</w:t>
      </w:r>
    </w:p>
    <w:p w14:paraId="35A6B5F5" w14:textId="77777777" w:rsidR="00565CD0" w:rsidRPr="00793E43" w:rsidRDefault="00565CD0" w:rsidP="00565CD0">
      <w:pPr>
        <w:spacing w:after="120" w:line="240" w:lineRule="auto"/>
        <w:ind w:left="1440"/>
        <w:rPr>
          <w:noProof/>
          <w:sz w:val="24"/>
          <w:szCs w:val="24"/>
        </w:rPr>
      </w:pPr>
      <w:r w:rsidRPr="00793E43">
        <w:rPr>
          <w:noProof/>
          <w:sz w:val="24"/>
          <w:szCs w:val="24"/>
        </w:rPr>
        <w:t xml:space="preserve">Master’s in African American Studies, Black Studies, Africana Studies, Latino Studies, La Raza Studies, Chicana/o Studies, Asian American Studies, Native American Studies, or American Indian Studies </w:t>
      </w:r>
    </w:p>
    <w:p w14:paraId="579F43FB" w14:textId="77777777" w:rsidR="00565CD0" w:rsidRPr="00793E43" w:rsidRDefault="00565CD0" w:rsidP="00565CD0">
      <w:pPr>
        <w:spacing w:after="120" w:line="240" w:lineRule="auto"/>
        <w:ind w:left="1440"/>
        <w:rPr>
          <w:noProof/>
          <w:sz w:val="24"/>
          <w:szCs w:val="24"/>
        </w:rPr>
      </w:pPr>
      <w:r w:rsidRPr="00793E43">
        <w:rPr>
          <w:noProof/>
          <w:sz w:val="24"/>
          <w:szCs w:val="24"/>
        </w:rPr>
        <w:t>OR</w:t>
      </w:r>
    </w:p>
    <w:p w14:paraId="13FFD512" w14:textId="77777777" w:rsidR="00565CD0" w:rsidRPr="00793E43" w:rsidRDefault="00565CD0" w:rsidP="00565CD0">
      <w:pPr>
        <w:spacing w:after="120" w:line="240" w:lineRule="auto"/>
        <w:ind w:left="1440"/>
        <w:rPr>
          <w:noProof/>
          <w:sz w:val="24"/>
          <w:szCs w:val="24"/>
        </w:rPr>
      </w:pPr>
      <w:r w:rsidRPr="00793E43">
        <w:rPr>
          <w:noProof/>
          <w:sz w:val="24"/>
          <w:szCs w:val="24"/>
        </w:rPr>
        <w:t>Master’s in Ethnic Studies</w:t>
      </w:r>
    </w:p>
    <w:p w14:paraId="589DC1B2" w14:textId="77777777" w:rsidR="00565CD0" w:rsidRPr="006C1C00" w:rsidRDefault="00565CD0" w:rsidP="00565CD0">
      <w:pPr>
        <w:spacing w:after="120" w:line="240" w:lineRule="auto"/>
        <w:ind w:left="1440"/>
        <w:rPr>
          <w:noProof/>
          <w:sz w:val="24"/>
          <w:szCs w:val="24"/>
        </w:rPr>
      </w:pPr>
      <w:r w:rsidRPr="00793E43">
        <w:rPr>
          <w:noProof/>
          <w:sz w:val="24"/>
          <w:szCs w:val="24"/>
        </w:rPr>
        <w:t>OR the equivalent</w:t>
      </w:r>
      <w:r>
        <w:rPr>
          <w:noProof/>
          <w:sz w:val="24"/>
          <w:szCs w:val="24"/>
        </w:rPr>
        <w:t xml:space="preserve">; </w:t>
      </w:r>
      <w:r w:rsidRPr="00793E43">
        <w:rPr>
          <w:noProof/>
          <w:sz w:val="24"/>
          <w:szCs w:val="24"/>
        </w:rPr>
        <w:t xml:space="preserve">and </w:t>
      </w:r>
    </w:p>
    <w:p w14:paraId="371C9F4F" w14:textId="77777777" w:rsidR="00565CD0" w:rsidRPr="006C1C00" w:rsidRDefault="00565CD0" w:rsidP="00565CD0">
      <w:pPr>
        <w:spacing w:after="120" w:line="240" w:lineRule="auto"/>
        <w:rPr>
          <w:sz w:val="24"/>
          <w:szCs w:val="24"/>
        </w:rPr>
      </w:pPr>
      <w:r w:rsidRPr="00793E43">
        <w:rPr>
          <w:noProof/>
          <w:sz w:val="24"/>
          <w:szCs w:val="24"/>
        </w:rPr>
        <w:t xml:space="preserve">Whereas, The Executive Committee of the Academic Senate for California Community Colleges has reviewed the proposal and deemed that the process outlined in the </w:t>
      </w:r>
      <w:r w:rsidRPr="00D70F09">
        <w:rPr>
          <w:i/>
          <w:iCs/>
          <w:noProof/>
          <w:sz w:val="24"/>
          <w:szCs w:val="24"/>
        </w:rPr>
        <w:t>Disciplines List Revision Handbook</w:t>
      </w:r>
      <w:r w:rsidRPr="00793E43">
        <w:rPr>
          <w:noProof/>
          <w:sz w:val="24"/>
          <w:szCs w:val="24"/>
        </w:rPr>
        <w:t xml:space="preserve"> was followed;</w:t>
      </w:r>
    </w:p>
    <w:p w14:paraId="601864C7" w14:textId="746BD951" w:rsidR="00565CD0" w:rsidRPr="006C1C00" w:rsidRDefault="00565CD0" w:rsidP="00565CD0">
      <w:pPr>
        <w:spacing w:after="120" w:line="240" w:lineRule="auto"/>
        <w:rPr>
          <w:sz w:val="24"/>
          <w:szCs w:val="24"/>
        </w:rPr>
      </w:pPr>
      <w:r w:rsidRPr="194E0518">
        <w:rPr>
          <w:noProof/>
          <w:sz w:val="24"/>
          <w:szCs w:val="24"/>
        </w:rPr>
        <w:t>Resolved, That the Academic Senate for California Community Colleges recommend that the California Community Colleges Board of Governors adopt the proposed addition to the Disciplines List for Ethnic Studies.</w:t>
      </w:r>
    </w:p>
    <w:p w14:paraId="34DA0986" w14:textId="4F9EC309" w:rsidR="00565CD0" w:rsidRDefault="00565CD0" w:rsidP="00565CD0">
      <w:pPr>
        <w:spacing w:after="240" w:line="240" w:lineRule="auto"/>
        <w:rPr>
          <w:noProof/>
          <w:sz w:val="24"/>
          <w:szCs w:val="24"/>
        </w:rPr>
      </w:pPr>
      <w:r w:rsidRPr="006C1C00">
        <w:rPr>
          <w:sz w:val="24"/>
          <w:szCs w:val="24"/>
        </w:rPr>
        <w:t xml:space="preserve">Contact: </w:t>
      </w:r>
      <w:r w:rsidRPr="00793E43">
        <w:rPr>
          <w:noProof/>
          <w:sz w:val="24"/>
          <w:szCs w:val="24"/>
        </w:rPr>
        <w:t>Tamara Cheshire</w:t>
      </w:r>
      <w:r w:rsidRPr="006C1C00">
        <w:rPr>
          <w:sz w:val="24"/>
          <w:szCs w:val="24"/>
        </w:rPr>
        <w:t xml:space="preserve">, </w:t>
      </w:r>
      <w:r w:rsidRPr="00793E43">
        <w:rPr>
          <w:noProof/>
          <w:sz w:val="24"/>
          <w:szCs w:val="24"/>
        </w:rPr>
        <w:t>Folsom Lake College</w:t>
      </w:r>
      <w:r w:rsidRPr="006C1C00">
        <w:rPr>
          <w:sz w:val="24"/>
          <w:szCs w:val="24"/>
        </w:rPr>
        <w:t xml:space="preserve">, </w:t>
      </w:r>
      <w:r w:rsidRPr="00793E43">
        <w:rPr>
          <w:noProof/>
          <w:sz w:val="24"/>
          <w:szCs w:val="24"/>
        </w:rPr>
        <w:t>Standards and Practices Committee</w:t>
      </w:r>
    </w:p>
    <w:p w14:paraId="18AD016B" w14:textId="381054D8" w:rsidR="002F0B7A" w:rsidRDefault="002F0B7A" w:rsidP="002F0B7A">
      <w:pPr>
        <w:pStyle w:val="ResolutionsTitle"/>
      </w:pPr>
      <w:bookmarkStart w:id="15" w:name="_Toc129872506"/>
      <w:r>
        <w:t>12.0 Faculty Development</w:t>
      </w:r>
      <w:bookmarkEnd w:id="15"/>
    </w:p>
    <w:p w14:paraId="5590EB70" w14:textId="77777777" w:rsidR="00565CD0" w:rsidRPr="006C1C00" w:rsidRDefault="00565CD0" w:rsidP="00D47CC5">
      <w:pPr>
        <w:pStyle w:val="ResolutionsTitles"/>
      </w:pPr>
      <w:bookmarkStart w:id="16" w:name="_Toc129872507"/>
      <w:r>
        <w:t>*12.01 S23  Assert the Value of the Work Done by the Online Network of Educators (@ONE)</w:t>
      </w:r>
      <w:bookmarkEnd w:id="16"/>
    </w:p>
    <w:p w14:paraId="33A51755" w14:textId="77777777" w:rsidR="00565CD0" w:rsidRPr="006C1C00" w:rsidRDefault="00565CD0" w:rsidP="006C1C00">
      <w:pPr>
        <w:spacing w:after="120" w:line="240" w:lineRule="auto"/>
        <w:rPr>
          <w:sz w:val="24"/>
          <w:szCs w:val="24"/>
        </w:rPr>
      </w:pPr>
      <w:r w:rsidRPr="00793E43">
        <w:rPr>
          <w:noProof/>
          <w:sz w:val="24"/>
          <w:szCs w:val="24"/>
        </w:rPr>
        <w:t>Whereas, The Online Network of Educators was established in conjunction with the California Virtual Campus-Online Education Initiative to provide free or low-cost robust and comprehensive innovative professional learning and development opportunities for California community college faculty, staff, and administrators to increase student engagement and success through the effective use of digital tools and platforms;</w:t>
      </w:r>
    </w:p>
    <w:p w14:paraId="5F7CE414" w14:textId="530FD9BE" w:rsidR="00565CD0" w:rsidRPr="006C1C00" w:rsidRDefault="00565CD0" w:rsidP="006C1C00">
      <w:pPr>
        <w:spacing w:after="120" w:line="240" w:lineRule="auto"/>
        <w:rPr>
          <w:sz w:val="24"/>
          <w:szCs w:val="24"/>
        </w:rPr>
      </w:pPr>
      <w:r w:rsidRPr="194E0518">
        <w:rPr>
          <w:noProof/>
          <w:sz w:val="24"/>
          <w:szCs w:val="24"/>
        </w:rPr>
        <w:lastRenderedPageBreak/>
        <w:t xml:space="preserve">Whereas, the Online Network of Educators (@ONE) team of educators provides such innovative pedagogical and technical training that they are routinely called upon as experts in distance education pedagogy, setting the highest standard for the systematic delivery of professional development for online teaching, their catalog of courses and their delivery are instrumental in the delivery of distance education that many colleges have built their entire professional development plans around @ONE’s continued offerings, and that @ONE’s focus on equitable and culturally responsive distance education practices have supported individual faculty members and colleges to supplement local efforts, especially for smaller colleges </w:t>
      </w:r>
      <w:r w:rsidR="353B6D25" w:rsidRPr="194E0518">
        <w:rPr>
          <w:noProof/>
          <w:sz w:val="24"/>
          <w:szCs w:val="24"/>
        </w:rPr>
        <w:t>that</w:t>
      </w:r>
      <w:r w:rsidRPr="194E0518">
        <w:rPr>
          <w:noProof/>
          <w:sz w:val="24"/>
          <w:szCs w:val="24"/>
        </w:rPr>
        <w:t xml:space="preserve"> may not have the resources for full-time instructional designers;</w:t>
      </w:r>
    </w:p>
    <w:p w14:paraId="5546C90D" w14:textId="17B015FC" w:rsidR="00565CD0" w:rsidRPr="006C1C00" w:rsidRDefault="00565CD0" w:rsidP="00565CD0">
      <w:pPr>
        <w:keepNext/>
        <w:keepLines/>
        <w:spacing w:after="120" w:line="240" w:lineRule="auto"/>
        <w:rPr>
          <w:sz w:val="24"/>
          <w:szCs w:val="24"/>
        </w:rPr>
      </w:pPr>
      <w:r w:rsidRPr="00793E43">
        <w:rPr>
          <w:noProof/>
          <w:sz w:val="24"/>
          <w:szCs w:val="24"/>
        </w:rPr>
        <w:t>Whereas, The Online Network of Educators’ training and support to faculty</w:t>
      </w:r>
      <w:r w:rsidR="00CB68AA">
        <w:rPr>
          <w:noProof/>
          <w:sz w:val="24"/>
          <w:szCs w:val="24"/>
        </w:rPr>
        <w:t xml:space="preserve"> have</w:t>
      </w:r>
      <w:r w:rsidRPr="00793E43">
        <w:rPr>
          <w:noProof/>
          <w:sz w:val="24"/>
          <w:szCs w:val="24"/>
        </w:rPr>
        <w:t xml:space="preserve"> been pivotal in the development of Canvas trainings for faculty and colleges that aim to design and implement a local Peer Online Course Review (POCR) process and these trainings were, and continue to be, pivotal to helping faculty across the system pivot quickly to online teaching during the COVID-19 pandemic and continue to increase online learning accessibility and equity-minded online teaching practices, especially since many colleges do not have adequate distance education coordinators, specialists, or instructional designer support for faculty; and</w:t>
      </w:r>
    </w:p>
    <w:p w14:paraId="179BE63F" w14:textId="1CC18EC7" w:rsidR="00565CD0" w:rsidRPr="006C1C00" w:rsidRDefault="00565CD0" w:rsidP="006C1C00">
      <w:pPr>
        <w:spacing w:after="120" w:line="240" w:lineRule="auto"/>
        <w:rPr>
          <w:sz w:val="24"/>
          <w:szCs w:val="24"/>
        </w:rPr>
      </w:pPr>
      <w:r w:rsidRPr="00793E43">
        <w:rPr>
          <w:noProof/>
          <w:sz w:val="24"/>
          <w:szCs w:val="24"/>
        </w:rPr>
        <w:t>Whereas, Funding for the Online Network of Educators has been provided through the California Community Colleges Chancellor’s Office and managed by the Foothill-DeAnza Community College District but</w:t>
      </w:r>
      <w:r w:rsidR="004B4236">
        <w:rPr>
          <w:noProof/>
          <w:sz w:val="24"/>
          <w:szCs w:val="24"/>
        </w:rPr>
        <w:t>, as of March 14, 2023,</w:t>
      </w:r>
      <w:r w:rsidRPr="00793E43">
        <w:rPr>
          <w:noProof/>
          <w:sz w:val="24"/>
          <w:szCs w:val="24"/>
        </w:rPr>
        <w:t xml:space="preserve"> has not been renewed by the California Community College Chancellor's Office for the 2023</w:t>
      </w:r>
      <w:r>
        <w:rPr>
          <w:noProof/>
          <w:sz w:val="24"/>
          <w:szCs w:val="24"/>
        </w:rPr>
        <w:t>—</w:t>
      </w:r>
      <w:r w:rsidRPr="00793E43">
        <w:rPr>
          <w:noProof/>
          <w:sz w:val="24"/>
          <w:szCs w:val="24"/>
        </w:rPr>
        <w:t>2024 academic year, and there is no current plan to address the loss of these resources that are needed to support the increased online instruction that continues after the 2020 COVID-19 pandemic;</w:t>
      </w:r>
    </w:p>
    <w:p w14:paraId="52DCAF4A" w14:textId="641C9914" w:rsidR="00565CD0" w:rsidRDefault="00565CD0" w:rsidP="006C1C00">
      <w:pPr>
        <w:spacing w:after="120" w:line="240" w:lineRule="auto"/>
        <w:rPr>
          <w:noProof/>
          <w:sz w:val="24"/>
          <w:szCs w:val="24"/>
        </w:rPr>
      </w:pPr>
      <w:r w:rsidRPr="194E0518">
        <w:rPr>
          <w:noProof/>
          <w:sz w:val="24"/>
          <w:szCs w:val="24"/>
        </w:rPr>
        <w:t>Resolved, That the Academic Senate for California Community Colleges assert</w:t>
      </w:r>
      <w:r w:rsidR="47A50415" w:rsidRPr="194E0518">
        <w:rPr>
          <w:noProof/>
          <w:sz w:val="24"/>
          <w:szCs w:val="24"/>
        </w:rPr>
        <w:t xml:space="preserve"> </w:t>
      </w:r>
      <w:r w:rsidRPr="194E0518">
        <w:rPr>
          <w:noProof/>
          <w:sz w:val="24"/>
          <w:szCs w:val="24"/>
        </w:rPr>
        <w:t xml:space="preserve">the value of the work done by the Online Network of Educators around their student-centered and equity-driven approach to supporting the faculty of the California Community Colleges in creating, innovating, and enhancing online education </w:t>
      </w:r>
      <w:r w:rsidR="000D6CE0">
        <w:rPr>
          <w:noProof/>
          <w:sz w:val="24"/>
          <w:szCs w:val="24"/>
        </w:rPr>
        <w:t>as</w:t>
      </w:r>
      <w:r w:rsidR="000D6CE0" w:rsidRPr="194E0518">
        <w:rPr>
          <w:noProof/>
          <w:sz w:val="24"/>
          <w:szCs w:val="24"/>
        </w:rPr>
        <w:t xml:space="preserve"> </w:t>
      </w:r>
      <w:r w:rsidRPr="194E0518">
        <w:rPr>
          <w:noProof/>
          <w:sz w:val="24"/>
          <w:szCs w:val="24"/>
        </w:rPr>
        <w:t xml:space="preserve">important foundational work for online accessibility and equity. </w:t>
      </w:r>
    </w:p>
    <w:p w14:paraId="773D90C2" w14:textId="243512F9" w:rsidR="00565CD0" w:rsidRDefault="00565CD0" w:rsidP="00A6250E">
      <w:pPr>
        <w:spacing w:after="240" w:line="240" w:lineRule="auto"/>
        <w:rPr>
          <w:noProof/>
          <w:sz w:val="24"/>
          <w:szCs w:val="24"/>
        </w:rPr>
      </w:pPr>
      <w:r w:rsidRPr="006C1C00">
        <w:rPr>
          <w:sz w:val="24"/>
          <w:szCs w:val="24"/>
        </w:rPr>
        <w:t xml:space="preserve">Contact: </w:t>
      </w:r>
      <w:r w:rsidRPr="00793E43">
        <w:rPr>
          <w:noProof/>
          <w:sz w:val="24"/>
          <w:szCs w:val="24"/>
        </w:rPr>
        <w:t>Amber Gillis</w:t>
      </w:r>
      <w:r w:rsidRPr="006C1C00">
        <w:rPr>
          <w:sz w:val="24"/>
          <w:szCs w:val="24"/>
        </w:rPr>
        <w:t xml:space="preserve">, </w:t>
      </w:r>
      <w:r w:rsidRPr="00793E43">
        <w:rPr>
          <w:noProof/>
          <w:sz w:val="24"/>
          <w:szCs w:val="24"/>
        </w:rPr>
        <w:t>Executive Committee</w:t>
      </w:r>
      <w:r w:rsidRPr="006C1C00">
        <w:rPr>
          <w:sz w:val="24"/>
          <w:szCs w:val="24"/>
        </w:rPr>
        <w:t xml:space="preserve">, </w:t>
      </w:r>
      <w:r>
        <w:rPr>
          <w:noProof/>
          <w:sz w:val="24"/>
          <w:szCs w:val="24"/>
        </w:rPr>
        <w:t>Online Education Committee</w:t>
      </w:r>
    </w:p>
    <w:p w14:paraId="23258F22" w14:textId="32155702" w:rsidR="00C86E21" w:rsidRDefault="00C86E21" w:rsidP="00C86E21">
      <w:pPr>
        <w:pStyle w:val="ResolutionsTitle"/>
      </w:pPr>
      <w:bookmarkStart w:id="17" w:name="_Toc129872508"/>
      <w:r>
        <w:t>13.0 General Concerns</w:t>
      </w:r>
      <w:bookmarkEnd w:id="17"/>
    </w:p>
    <w:p w14:paraId="0FE74B61" w14:textId="77777777" w:rsidR="00565CD0" w:rsidRPr="006C1C00" w:rsidRDefault="00565CD0" w:rsidP="00D47CC5">
      <w:pPr>
        <w:pStyle w:val="ResolutionsTitles"/>
      </w:pPr>
      <w:bookmarkStart w:id="18" w:name="_Toc129872509"/>
      <w:r>
        <w:t>*13.01 S23  Low Textbook Cost Designation and Search in CVC Online Course Finder</w:t>
      </w:r>
      <w:bookmarkEnd w:id="18"/>
    </w:p>
    <w:p w14:paraId="3743871B" w14:textId="77777777" w:rsidR="00565CD0" w:rsidRPr="006C1C00" w:rsidRDefault="00565CD0" w:rsidP="006C1C00">
      <w:pPr>
        <w:spacing w:after="120" w:line="240" w:lineRule="auto"/>
        <w:rPr>
          <w:noProof/>
          <w:sz w:val="24"/>
          <w:szCs w:val="24"/>
        </w:rPr>
      </w:pPr>
      <w:r w:rsidRPr="00793E43">
        <w:rPr>
          <w:noProof/>
          <w:sz w:val="24"/>
          <w:szCs w:val="24"/>
        </w:rPr>
        <w:t xml:space="preserve">Whereas, Resolution F22 17.05, “Adopt Student Senate for California Community Colleges Low-Cost Recommendation” encourages local academic senates to adopt $30 or less as their locally established cost threshold that must not be exceeded for a course to be considered low-cost for reporting purposes and designation in the class schedule; </w:t>
      </w:r>
    </w:p>
    <w:p w14:paraId="34A2D97F" w14:textId="77777777" w:rsidR="00565CD0" w:rsidRPr="006C1C00" w:rsidRDefault="00565CD0" w:rsidP="006C1C00">
      <w:pPr>
        <w:spacing w:after="120" w:line="240" w:lineRule="auto"/>
        <w:rPr>
          <w:noProof/>
          <w:sz w:val="24"/>
          <w:szCs w:val="24"/>
        </w:rPr>
      </w:pPr>
      <w:r w:rsidRPr="00793E43">
        <w:rPr>
          <w:noProof/>
          <w:sz w:val="24"/>
          <w:szCs w:val="24"/>
        </w:rPr>
        <w:t>Whereas, Establishing a low-cost definition is a local determination yet a single meaning of low-cost is necessary when students are provided the opportunity to select courses from different colleges since various definitions of low-cost at different institutions can be confusing and even misleading for students;</w:t>
      </w:r>
    </w:p>
    <w:p w14:paraId="667EA9F0" w14:textId="24317A82" w:rsidR="00565CD0" w:rsidRPr="006C1C00" w:rsidRDefault="00565CD0" w:rsidP="006C1C00">
      <w:pPr>
        <w:spacing w:after="120" w:line="240" w:lineRule="auto"/>
        <w:rPr>
          <w:noProof/>
          <w:sz w:val="24"/>
          <w:szCs w:val="24"/>
        </w:rPr>
      </w:pPr>
      <w:r w:rsidRPr="194E0518">
        <w:rPr>
          <w:noProof/>
          <w:sz w:val="24"/>
          <w:szCs w:val="24"/>
        </w:rPr>
        <w:lastRenderedPageBreak/>
        <w:t>Whereas, The California Virtual Campus Exchange’s online Course Finder enables students to access online courses across the state and both designates when a section is Zero Textbook Cost (ZTC) with a symbol and enables students to limit their search to only those section</w:t>
      </w:r>
      <w:r w:rsidR="0649E947" w:rsidRPr="194E0518">
        <w:rPr>
          <w:noProof/>
          <w:sz w:val="24"/>
          <w:szCs w:val="24"/>
        </w:rPr>
        <w:t>s</w:t>
      </w:r>
      <w:r w:rsidRPr="194E0518">
        <w:rPr>
          <w:noProof/>
          <w:sz w:val="24"/>
          <w:szCs w:val="24"/>
        </w:rPr>
        <w:t xml:space="preserve"> that are ZTC; and </w:t>
      </w:r>
    </w:p>
    <w:p w14:paraId="244A3CFF" w14:textId="77777777" w:rsidR="00565CD0" w:rsidRPr="006C1C00" w:rsidRDefault="00565CD0" w:rsidP="006C1C00">
      <w:pPr>
        <w:spacing w:after="120" w:line="240" w:lineRule="auto"/>
        <w:rPr>
          <w:noProof/>
          <w:sz w:val="24"/>
          <w:szCs w:val="24"/>
        </w:rPr>
      </w:pPr>
      <w:r w:rsidRPr="00793E43">
        <w:rPr>
          <w:noProof/>
          <w:sz w:val="24"/>
          <w:szCs w:val="24"/>
        </w:rPr>
        <w:t>Whereas, The Academic Senate for California Community Colleges has encouraged colleges to implement a mechanism for identifying course sections that employ low-cost course materials and recognizes that although reducing costs to zero may not be immediately possible, efforts to substantially decrease the costs of course materials should be recognized;</w:t>
      </w:r>
    </w:p>
    <w:p w14:paraId="4F12D030" w14:textId="59ABC3B7" w:rsidR="00565CD0" w:rsidRPr="006C1C00" w:rsidRDefault="00565CD0" w:rsidP="00966C6B">
      <w:pPr>
        <w:keepNext/>
        <w:keepLines/>
        <w:spacing w:after="120" w:line="240" w:lineRule="auto"/>
        <w:rPr>
          <w:noProof/>
          <w:sz w:val="24"/>
          <w:szCs w:val="24"/>
        </w:rPr>
      </w:pPr>
      <w:r w:rsidRPr="194E0518">
        <w:rPr>
          <w:noProof/>
          <w:sz w:val="24"/>
          <w:szCs w:val="24"/>
        </w:rPr>
        <w:t>Resolved, That the Academic Senate for California Community Colleges request that the California Virtual Campus (CVC) add a Low Textbook Cost (LTC) symbol to recognize those sections that have a cost of textbooks and supplemental resources that do not exceed $30 and include the LTC symbol in the search feature in the CVC’s online Course Finder.</w:t>
      </w:r>
    </w:p>
    <w:p w14:paraId="1FC99B34" w14:textId="77777777" w:rsidR="00565CD0" w:rsidRDefault="00565CD0" w:rsidP="00966C6B">
      <w:pPr>
        <w:keepNext/>
        <w:keepLines/>
        <w:spacing w:after="240" w:line="240" w:lineRule="auto"/>
      </w:pPr>
      <w:r w:rsidRPr="006C1C00">
        <w:rPr>
          <w:sz w:val="24"/>
          <w:szCs w:val="24"/>
        </w:rPr>
        <w:t xml:space="preserve">Contact: </w:t>
      </w:r>
      <w:r w:rsidRPr="00793E43">
        <w:rPr>
          <w:noProof/>
          <w:sz w:val="24"/>
          <w:szCs w:val="24"/>
        </w:rPr>
        <w:t>Michelle Pilati</w:t>
      </w:r>
      <w:r w:rsidRPr="006C1C00">
        <w:rPr>
          <w:sz w:val="24"/>
          <w:szCs w:val="24"/>
        </w:rPr>
        <w:t xml:space="preserve">, </w:t>
      </w:r>
      <w:r w:rsidRPr="00793E43">
        <w:rPr>
          <w:noProof/>
          <w:sz w:val="24"/>
          <w:szCs w:val="24"/>
        </w:rPr>
        <w:t>Open Educational Resources Initiative</w:t>
      </w:r>
    </w:p>
    <w:p w14:paraId="1453E499" w14:textId="77777777" w:rsidR="00565CD0" w:rsidRPr="006C1C00" w:rsidRDefault="00565CD0" w:rsidP="00D47CC5">
      <w:pPr>
        <w:pStyle w:val="ResolutionsTitles"/>
      </w:pPr>
      <w:bookmarkStart w:id="19" w:name="_Toc129872510"/>
      <w:r>
        <w:t>*13.02 S23  Adopt “Enrollment Management Revisited Again: Post Pandemic” Paper</w:t>
      </w:r>
      <w:bookmarkEnd w:id="19"/>
    </w:p>
    <w:p w14:paraId="717578BA" w14:textId="27DC7F7C" w:rsidR="00565CD0" w:rsidRPr="006C1C00" w:rsidRDefault="00565CD0" w:rsidP="006C1C00">
      <w:pPr>
        <w:spacing w:after="120" w:line="240" w:lineRule="auto"/>
        <w:rPr>
          <w:sz w:val="24"/>
          <w:szCs w:val="24"/>
        </w:rPr>
      </w:pPr>
      <w:r w:rsidRPr="00793E43">
        <w:rPr>
          <w:noProof/>
          <w:sz w:val="24"/>
          <w:szCs w:val="24"/>
        </w:rPr>
        <w:t>Whereas, In Fall 2018, the Academic Senate for California Community Colleges adopted Resolution 17.01 Guided Pathways, Strategic Enrollment Management, and Program Planning,</w:t>
      </w:r>
      <w:r>
        <w:rPr>
          <w:rStyle w:val="FootnoteReference"/>
          <w:noProof/>
          <w:sz w:val="24"/>
          <w:szCs w:val="24"/>
        </w:rPr>
        <w:footnoteReference w:id="21"/>
      </w:r>
      <w:r w:rsidRPr="00793E43">
        <w:rPr>
          <w:noProof/>
          <w:sz w:val="24"/>
          <w:szCs w:val="24"/>
        </w:rPr>
        <w:t xml:space="preserve"> which recognized the significant environmental changes that California community colleges find themselves operating in;</w:t>
      </w:r>
      <w:r w:rsidR="00846590">
        <w:rPr>
          <w:noProof/>
          <w:sz w:val="24"/>
          <w:szCs w:val="24"/>
        </w:rPr>
        <w:t xml:space="preserve"> and</w:t>
      </w:r>
    </w:p>
    <w:p w14:paraId="427AD211" w14:textId="6D64C28A" w:rsidR="00D70F09" w:rsidRPr="006C1C00" w:rsidRDefault="00565CD0" w:rsidP="006C1C00">
      <w:pPr>
        <w:spacing w:after="120" w:line="240" w:lineRule="auto"/>
        <w:rPr>
          <w:sz w:val="24"/>
          <w:szCs w:val="24"/>
        </w:rPr>
      </w:pPr>
      <w:r w:rsidRPr="00793E43">
        <w:rPr>
          <w:noProof/>
          <w:sz w:val="24"/>
          <w:szCs w:val="24"/>
        </w:rPr>
        <w:t xml:space="preserve">Whereas, Faculty leaders, in 1999 and 2009, contributed their expertise on 10 + 1 academic and professional matters as </w:t>
      </w:r>
      <w:r w:rsidR="00846590">
        <w:rPr>
          <w:noProof/>
          <w:sz w:val="24"/>
          <w:szCs w:val="24"/>
        </w:rPr>
        <w:t>they</w:t>
      </w:r>
      <w:r w:rsidRPr="00793E43">
        <w:rPr>
          <w:noProof/>
          <w:sz w:val="24"/>
          <w:szCs w:val="24"/>
        </w:rPr>
        <w:t xml:space="preserve"> relate to enrollment management that subsequently resulted in the crafting of a paper titled the “Role of Academic Senates in Enrollment Management”</w:t>
      </w:r>
      <w:r>
        <w:rPr>
          <w:rStyle w:val="FootnoteReference"/>
          <w:noProof/>
          <w:sz w:val="24"/>
          <w:szCs w:val="24"/>
        </w:rPr>
        <w:footnoteReference w:id="22"/>
      </w:r>
      <w:r w:rsidRPr="00793E43">
        <w:rPr>
          <w:noProof/>
          <w:sz w:val="24"/>
          <w:szCs w:val="24"/>
        </w:rPr>
        <w:t xml:space="preserve"> and a paper titled </w:t>
      </w:r>
      <w:bookmarkStart w:id="20" w:name="_Hlk128078254"/>
      <w:r w:rsidRPr="00793E43">
        <w:rPr>
          <w:noProof/>
          <w:sz w:val="24"/>
          <w:szCs w:val="24"/>
        </w:rPr>
        <w:t>“Enrollment Management Revisited”</w:t>
      </w:r>
      <w:bookmarkEnd w:id="20"/>
      <w:r>
        <w:rPr>
          <w:rStyle w:val="FootnoteReference"/>
          <w:noProof/>
          <w:sz w:val="24"/>
          <w:szCs w:val="24"/>
        </w:rPr>
        <w:footnoteReference w:id="23"/>
      </w:r>
    </w:p>
    <w:p w14:paraId="5BBE3875" w14:textId="22B477F5" w:rsidR="00D70F09" w:rsidRPr="006C1C00" w:rsidRDefault="00565CD0" w:rsidP="00D70F09">
      <w:pPr>
        <w:spacing w:after="120" w:line="240" w:lineRule="auto"/>
        <w:rPr>
          <w:sz w:val="24"/>
          <w:szCs w:val="24"/>
        </w:rPr>
      </w:pPr>
      <w:r w:rsidRPr="194E0518">
        <w:rPr>
          <w:noProof/>
          <w:sz w:val="24"/>
          <w:szCs w:val="24"/>
        </w:rPr>
        <w:t>Resolved, That the Academic Senate for California Community Colleges adopt the paper titled “Enrollment Management Revisited Again: Post Pandemic”</w:t>
      </w:r>
      <w:r w:rsidRPr="194E0518">
        <w:rPr>
          <w:rStyle w:val="FootnoteReference"/>
          <w:noProof/>
          <w:sz w:val="24"/>
          <w:szCs w:val="24"/>
        </w:rPr>
        <w:footnoteReference w:id="24"/>
      </w:r>
      <w:r w:rsidRPr="194E0518">
        <w:rPr>
          <w:noProof/>
          <w:sz w:val="24"/>
          <w:szCs w:val="24"/>
        </w:rPr>
        <w:t xml:space="preserve"> and disseminate the paper to local academic senates upon its adoption.</w:t>
      </w:r>
    </w:p>
    <w:p w14:paraId="67217682" w14:textId="77777777" w:rsidR="00565CD0" w:rsidRDefault="00565CD0" w:rsidP="00D70F09">
      <w:pPr>
        <w:spacing w:after="120" w:line="240" w:lineRule="auto"/>
      </w:pPr>
      <w:r w:rsidRPr="006C1C00">
        <w:rPr>
          <w:sz w:val="24"/>
          <w:szCs w:val="24"/>
        </w:rPr>
        <w:t xml:space="preserve">Contact: </w:t>
      </w:r>
      <w:r w:rsidRPr="00793E43">
        <w:rPr>
          <w:noProof/>
          <w:sz w:val="24"/>
          <w:szCs w:val="24"/>
        </w:rPr>
        <w:t>Carlos R. Guerrero</w:t>
      </w:r>
      <w:r w:rsidRPr="006C1C00">
        <w:rPr>
          <w:sz w:val="24"/>
          <w:szCs w:val="24"/>
        </w:rPr>
        <w:t xml:space="preserve">, </w:t>
      </w:r>
      <w:r w:rsidRPr="00793E43">
        <w:rPr>
          <w:noProof/>
          <w:sz w:val="24"/>
          <w:szCs w:val="24"/>
        </w:rPr>
        <w:t>Los Angeles City College</w:t>
      </w:r>
      <w:r w:rsidRPr="006C1C00">
        <w:rPr>
          <w:sz w:val="24"/>
          <w:szCs w:val="24"/>
        </w:rPr>
        <w:t xml:space="preserve">, </w:t>
      </w:r>
      <w:r w:rsidRPr="00793E43">
        <w:rPr>
          <w:noProof/>
          <w:sz w:val="24"/>
          <w:szCs w:val="24"/>
        </w:rPr>
        <w:t>Educational Policies Committee</w:t>
      </w:r>
    </w:p>
    <w:p w14:paraId="7CCCF26D" w14:textId="7969D908" w:rsidR="00565CD0" w:rsidRPr="006C1C00" w:rsidRDefault="00565CD0" w:rsidP="00BE6B17">
      <w:pPr>
        <w:pStyle w:val="ResolutionsTitles"/>
      </w:pPr>
      <w:bookmarkStart w:id="21" w:name="_Toc129872511"/>
      <w:r>
        <w:lastRenderedPageBreak/>
        <w:t>*13.0</w:t>
      </w:r>
      <w:r w:rsidR="002965D6">
        <w:t>3</w:t>
      </w:r>
      <w:r>
        <w:t xml:space="preserve"> S23  Adopt “Effective and Equitable Online Education: A Faculty Perspective” Paper</w:t>
      </w:r>
      <w:bookmarkEnd w:id="21"/>
    </w:p>
    <w:p w14:paraId="2AC2F940" w14:textId="7F116A43" w:rsidR="00565CD0" w:rsidRPr="00D70F09" w:rsidRDefault="00565CD0" w:rsidP="00D70F09">
      <w:pPr>
        <w:keepNext/>
        <w:keepLines/>
        <w:spacing w:after="120" w:line="240" w:lineRule="auto"/>
        <w:rPr>
          <w:strike/>
          <w:sz w:val="24"/>
          <w:szCs w:val="24"/>
        </w:rPr>
      </w:pPr>
      <w:r w:rsidRPr="00793E43">
        <w:rPr>
          <w:noProof/>
          <w:sz w:val="24"/>
          <w:szCs w:val="24"/>
        </w:rPr>
        <w:t xml:space="preserve">Whereas, In spring 2022, the Academic Senate for California Community Colleges (ASCCC) adopted </w:t>
      </w:r>
      <w:bookmarkStart w:id="22" w:name="_Hlk128079780"/>
      <w:r w:rsidRPr="00793E43">
        <w:rPr>
          <w:noProof/>
          <w:sz w:val="24"/>
          <w:szCs w:val="24"/>
        </w:rPr>
        <w:t>Resolution</w:t>
      </w:r>
      <w:r w:rsidR="007F0078">
        <w:rPr>
          <w:noProof/>
          <w:sz w:val="24"/>
          <w:szCs w:val="24"/>
        </w:rPr>
        <w:t xml:space="preserve"> S22</w:t>
      </w:r>
      <w:r w:rsidRPr="00793E43">
        <w:rPr>
          <w:noProof/>
          <w:sz w:val="24"/>
          <w:szCs w:val="24"/>
        </w:rPr>
        <w:t xml:space="preserve"> 13.02 Faculty Responsibility for Equitable, Accessible Learning Environments</w:t>
      </w:r>
      <w:bookmarkEnd w:id="22"/>
      <w:r w:rsidRPr="00793E43">
        <w:rPr>
          <w:noProof/>
          <w:sz w:val="24"/>
          <w:szCs w:val="24"/>
        </w:rPr>
        <w:t>,</w:t>
      </w:r>
      <w:r>
        <w:rPr>
          <w:rStyle w:val="FootnoteReference"/>
          <w:noProof/>
          <w:sz w:val="24"/>
          <w:szCs w:val="24"/>
        </w:rPr>
        <w:footnoteReference w:id="25"/>
      </w:r>
      <w:r w:rsidRPr="00793E43">
        <w:rPr>
          <w:noProof/>
          <w:sz w:val="24"/>
          <w:szCs w:val="24"/>
        </w:rPr>
        <w:t xml:space="preserve"> which recognized the need to update the existing ASCCC position paper entitled, “Ensuring Effective Online Programs: A Faculty Perspective” to include current and clarifying information regarding accessibility in online learning environments related to Sections 504</w:t>
      </w:r>
      <w:r>
        <w:rPr>
          <w:rStyle w:val="FootnoteReference"/>
          <w:noProof/>
          <w:sz w:val="24"/>
          <w:szCs w:val="24"/>
        </w:rPr>
        <w:footnoteReference w:id="26"/>
      </w:r>
      <w:r w:rsidRPr="00793E43">
        <w:rPr>
          <w:noProof/>
          <w:sz w:val="24"/>
          <w:szCs w:val="24"/>
        </w:rPr>
        <w:t xml:space="preserve"> and 508</w:t>
      </w:r>
      <w:r>
        <w:rPr>
          <w:rStyle w:val="FootnoteReference"/>
          <w:noProof/>
          <w:sz w:val="24"/>
          <w:szCs w:val="24"/>
        </w:rPr>
        <w:footnoteReference w:id="27"/>
      </w:r>
      <w:r w:rsidRPr="00793E43">
        <w:rPr>
          <w:noProof/>
          <w:sz w:val="24"/>
          <w:szCs w:val="24"/>
        </w:rPr>
        <w:t xml:space="preserve"> of the Rehabilitation Act, as well as faculty responsibility in providing these accessible learning environments for students; </w:t>
      </w:r>
    </w:p>
    <w:p w14:paraId="14E0DAA1" w14:textId="5D0B2002" w:rsidR="00565CD0" w:rsidRPr="006C1C00" w:rsidRDefault="00565CD0" w:rsidP="006C1C00">
      <w:pPr>
        <w:spacing w:after="120" w:line="240" w:lineRule="auto"/>
        <w:rPr>
          <w:sz w:val="24"/>
          <w:szCs w:val="24"/>
        </w:rPr>
      </w:pPr>
      <w:r w:rsidRPr="194E0518">
        <w:rPr>
          <w:noProof/>
          <w:sz w:val="24"/>
          <w:szCs w:val="24"/>
        </w:rPr>
        <w:t>Resolved, That the Academic Senate for California Community Colleges adopt the paper titled "Effective and Equitable Online Education: A Faculty Perspective”</w:t>
      </w:r>
      <w:r w:rsidRPr="194E0518">
        <w:rPr>
          <w:rStyle w:val="FootnoteReference"/>
          <w:noProof/>
          <w:sz w:val="24"/>
          <w:szCs w:val="24"/>
        </w:rPr>
        <w:footnoteReference w:id="28"/>
      </w:r>
      <w:r w:rsidRPr="194E0518">
        <w:rPr>
          <w:noProof/>
          <w:sz w:val="24"/>
          <w:szCs w:val="24"/>
        </w:rPr>
        <w:t xml:space="preserve"> and disseminate the paper to local academic senates upon its adoption.</w:t>
      </w:r>
    </w:p>
    <w:p w14:paraId="113005D1" w14:textId="6CB810CD" w:rsidR="00565CD0" w:rsidRDefault="00565CD0" w:rsidP="006C1C00">
      <w:pPr>
        <w:spacing w:after="240" w:line="240" w:lineRule="auto"/>
        <w:rPr>
          <w:noProof/>
          <w:sz w:val="24"/>
          <w:szCs w:val="24"/>
        </w:rPr>
      </w:pPr>
      <w:r w:rsidRPr="006C1C00">
        <w:rPr>
          <w:sz w:val="24"/>
          <w:szCs w:val="24"/>
        </w:rPr>
        <w:t xml:space="preserve">Contact: </w:t>
      </w:r>
      <w:r w:rsidRPr="00793E43">
        <w:rPr>
          <w:noProof/>
          <w:sz w:val="24"/>
          <w:szCs w:val="24"/>
        </w:rPr>
        <w:t>Amber Gillis</w:t>
      </w:r>
      <w:r w:rsidRPr="006C1C00">
        <w:rPr>
          <w:sz w:val="24"/>
          <w:szCs w:val="24"/>
        </w:rPr>
        <w:t xml:space="preserve">, </w:t>
      </w:r>
      <w:r w:rsidRPr="00793E43">
        <w:rPr>
          <w:noProof/>
          <w:sz w:val="24"/>
          <w:szCs w:val="24"/>
        </w:rPr>
        <w:t>Executive Committee</w:t>
      </w:r>
      <w:r>
        <w:rPr>
          <w:noProof/>
          <w:sz w:val="24"/>
          <w:szCs w:val="24"/>
        </w:rPr>
        <w:t>, Online Education Committee</w:t>
      </w:r>
    </w:p>
    <w:p w14:paraId="2346594B" w14:textId="3AE48F9A" w:rsidR="002965D6" w:rsidRPr="006C1C00" w:rsidRDefault="002965D6" w:rsidP="002965D6">
      <w:pPr>
        <w:pStyle w:val="ResolutionsTitles"/>
      </w:pPr>
      <w:bookmarkStart w:id="23" w:name="_Toc129872512"/>
      <w:r>
        <w:t>*13.04 S23  Define Academic Freedom in Title 5</w:t>
      </w:r>
      <w:bookmarkEnd w:id="23"/>
    </w:p>
    <w:p w14:paraId="5CDC5083" w14:textId="7B0EB8B7" w:rsidR="002965D6" w:rsidRPr="006C1C00" w:rsidRDefault="002965D6" w:rsidP="002965D6">
      <w:pPr>
        <w:spacing w:after="120" w:line="240" w:lineRule="auto"/>
        <w:rPr>
          <w:sz w:val="24"/>
          <w:szCs w:val="24"/>
        </w:rPr>
      </w:pPr>
      <w:r w:rsidRPr="00793E43">
        <w:rPr>
          <w:noProof/>
          <w:sz w:val="24"/>
          <w:szCs w:val="24"/>
        </w:rPr>
        <w:t>Whereas, In July 2021, the California</w:t>
      </w:r>
      <w:r w:rsidR="007F0078">
        <w:rPr>
          <w:noProof/>
          <w:sz w:val="24"/>
          <w:szCs w:val="24"/>
        </w:rPr>
        <w:t xml:space="preserve"> State</w:t>
      </w:r>
      <w:r w:rsidRPr="00793E43">
        <w:rPr>
          <w:noProof/>
          <w:sz w:val="24"/>
          <w:szCs w:val="24"/>
        </w:rPr>
        <w:t xml:space="preserve"> Senate passed Senate Resolution 45</w:t>
      </w:r>
      <w:r w:rsidR="007F0078">
        <w:rPr>
          <w:noProof/>
          <w:sz w:val="24"/>
          <w:szCs w:val="24"/>
        </w:rPr>
        <w:t xml:space="preserve"> (Min, 2021)</w:t>
      </w:r>
      <w:r w:rsidR="007F0078">
        <w:rPr>
          <w:rStyle w:val="FootnoteReference"/>
          <w:noProof/>
          <w:sz w:val="24"/>
          <w:szCs w:val="24"/>
        </w:rPr>
        <w:footnoteReference w:id="29"/>
      </w:r>
      <w:r w:rsidRPr="00793E43">
        <w:rPr>
          <w:noProof/>
          <w:sz w:val="24"/>
          <w:szCs w:val="24"/>
        </w:rPr>
        <w:t xml:space="preserve"> “recogniz[ing] the lack of consistent academic freedom policies across the state, [and] declar[ing] that academic freedom is essential for teaching and learning in California’s community colleges”</w:t>
      </w:r>
      <w:r>
        <w:rPr>
          <w:rStyle w:val="FootnoteReference"/>
          <w:noProof/>
          <w:sz w:val="24"/>
          <w:szCs w:val="24"/>
        </w:rPr>
        <w:footnoteReference w:id="30"/>
      </w:r>
      <w:r w:rsidRPr="00793E43">
        <w:rPr>
          <w:noProof/>
          <w:sz w:val="24"/>
          <w:szCs w:val="24"/>
        </w:rPr>
        <w:t>; and</w:t>
      </w:r>
    </w:p>
    <w:p w14:paraId="0B098942" w14:textId="3AD21B84" w:rsidR="002965D6" w:rsidRPr="006C1C00" w:rsidRDefault="002965D6" w:rsidP="002965D6">
      <w:pPr>
        <w:keepNext/>
        <w:keepLines/>
        <w:spacing w:after="120" w:line="240" w:lineRule="auto"/>
        <w:rPr>
          <w:sz w:val="24"/>
          <w:szCs w:val="24"/>
        </w:rPr>
      </w:pPr>
      <w:r w:rsidRPr="00793E43">
        <w:rPr>
          <w:noProof/>
          <w:sz w:val="24"/>
          <w:szCs w:val="24"/>
        </w:rPr>
        <w:t>Whereas, California Code of Regulations, title 5 §51023 mandates “the governing board of a community college district to adopt a policy statement on academic freedom and make the policy statement available to the faculty</w:t>
      </w:r>
      <w:r>
        <w:rPr>
          <w:noProof/>
          <w:sz w:val="24"/>
          <w:szCs w:val="24"/>
        </w:rPr>
        <w:t>,</w:t>
      </w:r>
      <w:r w:rsidRPr="00793E43">
        <w:rPr>
          <w:noProof/>
          <w:sz w:val="24"/>
          <w:szCs w:val="24"/>
        </w:rPr>
        <w:t>”</w:t>
      </w:r>
      <w:r>
        <w:rPr>
          <w:rStyle w:val="FootnoteReference"/>
          <w:noProof/>
          <w:sz w:val="24"/>
          <w:szCs w:val="24"/>
        </w:rPr>
        <w:footnoteReference w:id="31"/>
      </w:r>
      <w:r w:rsidRPr="00793E43">
        <w:rPr>
          <w:noProof/>
          <w:sz w:val="24"/>
          <w:szCs w:val="24"/>
        </w:rPr>
        <w:t xml:space="preserve"> yet there remains no</w:t>
      </w:r>
      <w:r w:rsidR="00997E04">
        <w:rPr>
          <w:noProof/>
          <w:sz w:val="24"/>
          <w:szCs w:val="24"/>
        </w:rPr>
        <w:t xml:space="preserve"> statutory </w:t>
      </w:r>
      <w:r w:rsidRPr="00793E43">
        <w:rPr>
          <w:noProof/>
          <w:sz w:val="24"/>
          <w:szCs w:val="24"/>
        </w:rPr>
        <w:t>or regulatory language that defines academic freedom, which has left California community colleges operating with “inconsistent” and “insufficient” policies related to academic freedom</w:t>
      </w:r>
      <w:r>
        <w:rPr>
          <w:rStyle w:val="FootnoteReference"/>
          <w:noProof/>
          <w:sz w:val="24"/>
          <w:szCs w:val="24"/>
        </w:rPr>
        <w:footnoteReference w:id="32"/>
      </w:r>
      <w:r w:rsidRPr="00793E43">
        <w:rPr>
          <w:noProof/>
          <w:sz w:val="24"/>
          <w:szCs w:val="24"/>
        </w:rPr>
        <w:t xml:space="preserve">; </w:t>
      </w:r>
    </w:p>
    <w:p w14:paraId="07E37063" w14:textId="7DCB1E38" w:rsidR="002965D6" w:rsidRPr="006C1C00" w:rsidRDefault="002965D6" w:rsidP="002965D6">
      <w:pPr>
        <w:spacing w:after="120" w:line="240" w:lineRule="auto"/>
        <w:rPr>
          <w:sz w:val="24"/>
          <w:szCs w:val="24"/>
        </w:rPr>
      </w:pPr>
      <w:r w:rsidRPr="00793E43">
        <w:rPr>
          <w:noProof/>
          <w:sz w:val="24"/>
          <w:szCs w:val="24"/>
        </w:rPr>
        <w:t xml:space="preserve">Resolved, That the Academic Senate for California Community Colleges work with the California Community Colleges Chancellor’s Office to revise California Code of Regulations, title 5 §51023 </w:t>
      </w:r>
      <w:r w:rsidRPr="00793E43">
        <w:rPr>
          <w:noProof/>
          <w:sz w:val="24"/>
          <w:szCs w:val="24"/>
        </w:rPr>
        <w:lastRenderedPageBreak/>
        <w:t>to</w:t>
      </w:r>
      <w:r w:rsidR="00997E04">
        <w:rPr>
          <w:noProof/>
          <w:sz w:val="24"/>
          <w:szCs w:val="24"/>
        </w:rPr>
        <w:t xml:space="preserve"> include</w:t>
      </w:r>
      <w:r w:rsidRPr="00793E43">
        <w:rPr>
          <w:noProof/>
          <w:sz w:val="24"/>
          <w:szCs w:val="24"/>
        </w:rPr>
        <w:t xml:space="preserve"> </w:t>
      </w:r>
      <w:r w:rsidR="00997E04">
        <w:rPr>
          <w:noProof/>
          <w:sz w:val="24"/>
          <w:szCs w:val="24"/>
        </w:rPr>
        <w:t>a</w:t>
      </w:r>
      <w:r w:rsidRPr="00793E43">
        <w:rPr>
          <w:noProof/>
          <w:sz w:val="24"/>
          <w:szCs w:val="24"/>
        </w:rPr>
        <w:t xml:space="preserve"> definition for academic freedom needed by California community colleges to establish a standard for their curriculum and classrooms.</w:t>
      </w:r>
      <w:r>
        <w:rPr>
          <w:rStyle w:val="FootnoteReference"/>
          <w:noProof/>
          <w:sz w:val="24"/>
          <w:szCs w:val="24"/>
        </w:rPr>
        <w:footnoteReference w:id="33"/>
      </w:r>
    </w:p>
    <w:p w14:paraId="6C696B4D" w14:textId="07F8F8AA" w:rsidR="002965D6" w:rsidRPr="002965D6" w:rsidRDefault="002965D6" w:rsidP="006C1C00">
      <w:pPr>
        <w:spacing w:after="240" w:line="240" w:lineRule="auto"/>
      </w:pPr>
      <w:r w:rsidRPr="006C1C00">
        <w:rPr>
          <w:sz w:val="24"/>
          <w:szCs w:val="24"/>
        </w:rPr>
        <w:t xml:space="preserve">Contact: </w:t>
      </w:r>
      <w:r w:rsidRPr="00793E43">
        <w:rPr>
          <w:noProof/>
          <w:sz w:val="24"/>
          <w:szCs w:val="24"/>
        </w:rPr>
        <w:t>Juan Arzola</w:t>
      </w:r>
      <w:r w:rsidRPr="006C1C00">
        <w:rPr>
          <w:sz w:val="24"/>
          <w:szCs w:val="24"/>
        </w:rPr>
        <w:t xml:space="preserve">, </w:t>
      </w:r>
      <w:r w:rsidRPr="00793E43">
        <w:rPr>
          <w:noProof/>
          <w:sz w:val="24"/>
          <w:szCs w:val="24"/>
        </w:rPr>
        <w:t>Executive Committee</w:t>
      </w:r>
      <w:r w:rsidRPr="006C1C00">
        <w:rPr>
          <w:sz w:val="24"/>
          <w:szCs w:val="24"/>
        </w:rPr>
        <w:t xml:space="preserve">, </w:t>
      </w:r>
      <w:r w:rsidRPr="00793E43">
        <w:rPr>
          <w:noProof/>
          <w:sz w:val="24"/>
          <w:szCs w:val="24"/>
        </w:rPr>
        <w:t>Educational Policies Committee</w:t>
      </w:r>
    </w:p>
    <w:sectPr w:rsidR="002965D6" w:rsidRPr="002965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14DC" w14:textId="77777777" w:rsidR="005A6C4A" w:rsidRDefault="005A6C4A" w:rsidP="00A6250E">
      <w:pPr>
        <w:spacing w:after="0" w:line="240" w:lineRule="auto"/>
      </w:pPr>
      <w:r>
        <w:separator/>
      </w:r>
    </w:p>
  </w:endnote>
  <w:endnote w:type="continuationSeparator" w:id="0">
    <w:p w14:paraId="3FF9DC40" w14:textId="77777777" w:rsidR="005A6C4A" w:rsidRDefault="005A6C4A" w:rsidP="00A6250E">
      <w:pPr>
        <w:spacing w:after="0" w:line="240" w:lineRule="auto"/>
      </w:pPr>
      <w:r>
        <w:continuationSeparator/>
      </w:r>
    </w:p>
  </w:endnote>
  <w:endnote w:type="continuationNotice" w:id="1">
    <w:p w14:paraId="1F62F856" w14:textId="77777777" w:rsidR="005A6C4A" w:rsidRDefault="005A6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824218"/>
      <w:docPartObj>
        <w:docPartGallery w:val="Page Numbers (Bottom of Page)"/>
        <w:docPartUnique/>
      </w:docPartObj>
    </w:sdtPr>
    <w:sdtContent>
      <w:sdt>
        <w:sdtPr>
          <w:id w:val="-1705238520"/>
          <w:docPartObj>
            <w:docPartGallery w:val="Page Numbers (Top of Page)"/>
            <w:docPartUnique/>
          </w:docPartObj>
        </w:sdtPr>
        <w:sdtContent>
          <w:p w14:paraId="1E97C3F0" w14:textId="77777777" w:rsidR="00EF5CAF" w:rsidRDefault="00EF5CAF" w:rsidP="006353EE">
            <w:pPr>
              <w:pStyle w:val="Footer"/>
              <w:jc w:val="center"/>
            </w:pPr>
            <w:r w:rsidRPr="004348F3">
              <w:rPr>
                <w:sz w:val="24"/>
                <w:szCs w:val="24"/>
              </w:rPr>
              <w:fldChar w:fldCharType="begin"/>
            </w:r>
            <w:r w:rsidRPr="004348F3">
              <w:rPr>
                <w:sz w:val="24"/>
                <w:szCs w:val="24"/>
              </w:rPr>
              <w:instrText xml:space="preserve"> PAGE   \* MERGEFORMAT </w:instrText>
            </w:r>
            <w:r w:rsidRPr="004348F3">
              <w:rPr>
                <w:sz w:val="24"/>
                <w:szCs w:val="24"/>
              </w:rPr>
              <w:fldChar w:fldCharType="separate"/>
            </w:r>
            <w:r w:rsidRPr="004348F3">
              <w:rPr>
                <w:noProof/>
                <w:sz w:val="24"/>
                <w:szCs w:val="24"/>
              </w:rPr>
              <w:t>1</w:t>
            </w:r>
            <w:r w:rsidRPr="004348F3">
              <w:rPr>
                <w:sz w:val="24"/>
                <w:szCs w:val="24"/>
              </w:rPr>
              <w:fldChar w:fldCharType="end"/>
            </w:r>
            <w:r w:rsidRPr="004348F3">
              <w:t xml:space="preserve"> of </w:t>
            </w:r>
            <w:fldSimple w:instr=" NUMPAGES  ">
              <w:r w:rsidRPr="004348F3">
                <w:rPr>
                  <w:noProof/>
                </w:rPr>
                <w:t>2</w:t>
              </w:r>
            </w:fldSimple>
          </w:p>
        </w:sdtContent>
      </w:sdt>
    </w:sdtContent>
  </w:sdt>
  <w:p w14:paraId="3F449C57" w14:textId="77777777" w:rsidR="00EF5CAF" w:rsidRDefault="00EF5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194E0518" w14:paraId="42C6F3A4" w14:textId="77777777" w:rsidTr="002965D6">
      <w:trPr>
        <w:trHeight w:val="300"/>
      </w:trPr>
      <w:tc>
        <w:tcPr>
          <w:tcW w:w="3115" w:type="dxa"/>
        </w:tcPr>
        <w:p w14:paraId="5456A8FD" w14:textId="7460BAC5" w:rsidR="194E0518" w:rsidRDefault="194E0518" w:rsidP="002965D6">
          <w:pPr>
            <w:pStyle w:val="Header"/>
            <w:ind w:left="-115"/>
          </w:pPr>
        </w:p>
      </w:tc>
      <w:tc>
        <w:tcPr>
          <w:tcW w:w="3115" w:type="dxa"/>
        </w:tcPr>
        <w:p w14:paraId="3EF84B16" w14:textId="33D4039B" w:rsidR="194E0518" w:rsidRDefault="194E0518" w:rsidP="002965D6">
          <w:pPr>
            <w:pStyle w:val="Header"/>
            <w:jc w:val="center"/>
          </w:pPr>
        </w:p>
      </w:tc>
      <w:tc>
        <w:tcPr>
          <w:tcW w:w="3115" w:type="dxa"/>
        </w:tcPr>
        <w:p w14:paraId="022C957E" w14:textId="54D1C7B3" w:rsidR="194E0518" w:rsidRDefault="194E0518" w:rsidP="002965D6">
          <w:pPr>
            <w:pStyle w:val="Header"/>
            <w:ind w:right="-115"/>
            <w:jc w:val="right"/>
          </w:pPr>
        </w:p>
      </w:tc>
    </w:tr>
  </w:tbl>
  <w:p w14:paraId="6C133C3A" w14:textId="2C2EE4C8" w:rsidR="194E0518" w:rsidRDefault="194E0518" w:rsidP="00296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5AFF" w14:textId="77777777" w:rsidR="00A6250E" w:rsidRDefault="00A625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668004"/>
      <w:docPartObj>
        <w:docPartGallery w:val="Page Numbers (Bottom of Page)"/>
        <w:docPartUnique/>
      </w:docPartObj>
    </w:sdtPr>
    <w:sdtEndPr>
      <w:rPr>
        <w:noProof/>
      </w:rPr>
    </w:sdtEndPr>
    <w:sdtContent>
      <w:p w14:paraId="641611DC" w14:textId="41560ECD" w:rsidR="002965D6" w:rsidRDefault="002965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AA49B" w14:textId="77777777" w:rsidR="00A6250E" w:rsidRDefault="00A625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B1D1" w14:textId="77777777" w:rsidR="00A6250E" w:rsidRDefault="00A62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7B91" w14:textId="77777777" w:rsidR="005A6C4A" w:rsidRDefault="005A6C4A" w:rsidP="00A6250E">
      <w:pPr>
        <w:spacing w:after="0" w:line="240" w:lineRule="auto"/>
      </w:pPr>
      <w:r>
        <w:separator/>
      </w:r>
    </w:p>
  </w:footnote>
  <w:footnote w:type="continuationSeparator" w:id="0">
    <w:p w14:paraId="240F4279" w14:textId="77777777" w:rsidR="005A6C4A" w:rsidRDefault="005A6C4A" w:rsidP="00A6250E">
      <w:pPr>
        <w:spacing w:after="0" w:line="240" w:lineRule="auto"/>
      </w:pPr>
      <w:r>
        <w:continuationSeparator/>
      </w:r>
    </w:p>
  </w:footnote>
  <w:footnote w:type="continuationNotice" w:id="1">
    <w:p w14:paraId="5F4F7132" w14:textId="77777777" w:rsidR="005A6C4A" w:rsidRDefault="005A6C4A">
      <w:pPr>
        <w:spacing w:after="0" w:line="240" w:lineRule="auto"/>
      </w:pPr>
    </w:p>
  </w:footnote>
  <w:footnote w:id="2">
    <w:p w14:paraId="07CD16DF" w14:textId="77777777" w:rsidR="00565CD0" w:rsidRDefault="00565CD0" w:rsidP="00CC244D">
      <w:pPr>
        <w:pStyle w:val="FootnoteText"/>
      </w:pPr>
      <w:r>
        <w:rPr>
          <w:rStyle w:val="FootnoteReference"/>
        </w:rPr>
        <w:footnoteRef/>
      </w:r>
      <w:r>
        <w:t xml:space="preserve"> Resolution F95 17.02 </w:t>
      </w:r>
      <w:r w:rsidRPr="00FC6A7C">
        <w:t>Part-time Faculty Involvement in Local Senates</w:t>
      </w:r>
      <w:r>
        <w:t xml:space="preserve">: </w:t>
      </w:r>
      <w:hyperlink r:id="rId1" w:history="1">
        <w:r w:rsidRPr="0082796E">
          <w:rPr>
            <w:rStyle w:val="Hyperlink"/>
          </w:rPr>
          <w:t>https://www.asccc.org/resolutions/part-time-faculty-involvement-local-senates</w:t>
        </w:r>
      </w:hyperlink>
      <w:r>
        <w:t xml:space="preserve">.  </w:t>
      </w:r>
    </w:p>
  </w:footnote>
  <w:footnote w:id="3">
    <w:p w14:paraId="61F31D76" w14:textId="06B255F6" w:rsidR="00565CD0" w:rsidRDefault="00565CD0">
      <w:pPr>
        <w:pStyle w:val="FootnoteText"/>
      </w:pPr>
      <w:r>
        <w:rPr>
          <w:rStyle w:val="FootnoteReference"/>
        </w:rPr>
        <w:footnoteRef/>
      </w:r>
      <w:r w:rsidR="194E0518">
        <w:t xml:space="preserve"> Resolution </w:t>
      </w:r>
      <w:r w:rsidR="194E0518" w:rsidRPr="006D5FD7">
        <w:t>S96 01.05 Participation of Part-time Faculty on the Executive Committee</w:t>
      </w:r>
      <w:r w:rsidR="194E0518">
        <w:t xml:space="preserve">: </w:t>
      </w:r>
      <w:hyperlink r:id="rId2" w:history="1">
        <w:r w:rsidR="194E0518" w:rsidRPr="0082796E">
          <w:rPr>
            <w:rStyle w:val="Hyperlink"/>
          </w:rPr>
          <w:t>https://www.asccc.org/resolutions/participation-part-time-faculty-executive-committee</w:t>
        </w:r>
      </w:hyperlink>
      <w:r w:rsidR="194E0518">
        <w:t xml:space="preserve">. </w:t>
      </w:r>
    </w:p>
  </w:footnote>
  <w:footnote w:id="4">
    <w:p w14:paraId="46BE1767" w14:textId="77777777" w:rsidR="00565CD0" w:rsidRDefault="00565CD0" w:rsidP="006D5FD7">
      <w:pPr>
        <w:pStyle w:val="FootnoteText"/>
      </w:pPr>
      <w:r>
        <w:rPr>
          <w:rStyle w:val="FootnoteReference"/>
        </w:rPr>
        <w:footnoteRef/>
      </w:r>
      <w:r>
        <w:t xml:space="preserve"> “</w:t>
      </w:r>
      <w:r w:rsidRPr="006D5FD7">
        <w:t xml:space="preserve">Participation of Part-time Faculty on the Executive Committee of the Academic Senate for California Community Colleges" </w:t>
      </w:r>
      <w:r>
        <w:t xml:space="preserve">(1998) found at </w:t>
      </w:r>
      <w:hyperlink r:id="rId3" w:history="1">
        <w:r w:rsidRPr="0082796E">
          <w:rPr>
            <w:rStyle w:val="Hyperlink"/>
          </w:rPr>
          <w:t>https://www.asccc.org/papers/participation-part-time-faculty-executive-committee-academic-senate-california-Community</w:t>
        </w:r>
      </w:hyperlink>
      <w:r>
        <w:t xml:space="preserve">. </w:t>
      </w:r>
    </w:p>
  </w:footnote>
  <w:footnote w:id="5">
    <w:p w14:paraId="0594949A" w14:textId="77777777" w:rsidR="00565CD0" w:rsidRPr="009F5699" w:rsidRDefault="00565CD0" w:rsidP="00A219B6">
      <w:pPr>
        <w:pBdr>
          <w:top w:val="nil"/>
          <w:left w:val="nil"/>
          <w:bottom w:val="nil"/>
          <w:right w:val="nil"/>
          <w:between w:val="nil"/>
        </w:pBdr>
        <w:spacing w:after="0"/>
        <w:rPr>
          <w:strike/>
          <w:color w:val="000000"/>
          <w:sz w:val="18"/>
          <w:szCs w:val="18"/>
        </w:rPr>
      </w:pPr>
      <w:r>
        <w:rPr>
          <w:rStyle w:val="FootnoteReference"/>
        </w:rPr>
        <w:footnoteRef/>
      </w:r>
      <w:r>
        <w:t xml:space="preserve"> </w:t>
      </w:r>
      <w:r w:rsidRPr="00D33837">
        <w:rPr>
          <w:color w:val="000000"/>
          <w:sz w:val="20"/>
          <w:szCs w:val="20"/>
        </w:rPr>
        <w:t xml:space="preserve">California Community Colleges Chancellor’s Office. </w:t>
      </w:r>
      <w:r w:rsidRPr="00D33837">
        <w:rPr>
          <w:i/>
          <w:color w:val="000000"/>
          <w:sz w:val="20"/>
          <w:szCs w:val="20"/>
        </w:rPr>
        <w:t>Management Information Systems Datamart</w:t>
      </w:r>
      <w:r w:rsidRPr="00D33837">
        <w:rPr>
          <w:color w:val="000000"/>
          <w:sz w:val="20"/>
          <w:szCs w:val="20"/>
        </w:rPr>
        <w:t>.</w:t>
      </w:r>
      <w:r>
        <w:rPr>
          <w:color w:val="000000"/>
          <w:sz w:val="20"/>
          <w:szCs w:val="20"/>
        </w:rPr>
        <w:t xml:space="preserve"> Faculty &amp; Staff Demographics Report. Retrieved March 10, 2023, from </w:t>
      </w:r>
      <w:hyperlink r:id="rId4" w:tgtFrame="_blank" w:tooltip="Original URL: https://datamart.cccco.edu/Faculty-Staff/Staff_Demo.aspx. Click or tap if you trust this link." w:history="1">
        <w:r w:rsidRPr="009F5699">
          <w:rPr>
            <w:rStyle w:val="Hyperlink"/>
            <w:rFonts w:ascii="Calibri" w:hAnsi="Calibri" w:cs="Calibri"/>
            <w:color w:val="0563C1"/>
            <w:sz w:val="20"/>
            <w:szCs w:val="20"/>
            <w:bdr w:val="none" w:sz="0" w:space="0" w:color="auto" w:frame="1"/>
            <w:shd w:val="clear" w:color="auto" w:fill="FFFFFF"/>
          </w:rPr>
          <w:t>https://datamart.cccco.edu/Faculty-Staff/Staff_Demo.aspx</w:t>
        </w:r>
      </w:hyperlink>
      <w:r w:rsidRPr="009F5699">
        <w:rPr>
          <w:sz w:val="20"/>
          <w:szCs w:val="20"/>
        </w:rPr>
        <w:t>.</w:t>
      </w:r>
      <w:r w:rsidRPr="009F5699">
        <w:rPr>
          <w:color w:val="000000"/>
          <w:sz w:val="18"/>
          <w:szCs w:val="18"/>
        </w:rPr>
        <w:t xml:space="preserve">  </w:t>
      </w:r>
    </w:p>
    <w:p w14:paraId="301584AE" w14:textId="77777777" w:rsidR="00565CD0" w:rsidRDefault="00565CD0">
      <w:pPr>
        <w:pStyle w:val="FootnoteText"/>
      </w:pPr>
    </w:p>
  </w:footnote>
  <w:footnote w:id="6">
    <w:p w14:paraId="6443FCC9" w14:textId="20E00E7F" w:rsidR="194E0518" w:rsidRDefault="194E0518" w:rsidP="194E0518">
      <w:pPr>
        <w:pStyle w:val="FootnoteText"/>
      </w:pPr>
      <w:r w:rsidRPr="194E0518">
        <w:rPr>
          <w:rStyle w:val="FootnoteReference"/>
        </w:rPr>
        <w:footnoteRef/>
      </w:r>
      <w:r>
        <w:t xml:space="preserve"> 2018—2023 Strategic Plan can be found at </w:t>
      </w:r>
      <w:hyperlink r:id="rId5">
        <w:r w:rsidRPr="194E0518">
          <w:rPr>
            <w:rStyle w:val="Hyperlink"/>
          </w:rPr>
          <w:t>https://www.asccc.org/sites/default/files/ASCCC_Strategic_Plan_2018-2023_final.pdf</w:t>
        </w:r>
      </w:hyperlink>
      <w:r>
        <w:t xml:space="preserve">. </w:t>
      </w:r>
    </w:p>
  </w:footnote>
  <w:footnote w:id="7">
    <w:p w14:paraId="448FCB8C" w14:textId="77777777" w:rsidR="00565CD0" w:rsidRDefault="00565CD0">
      <w:pPr>
        <w:pStyle w:val="FootnoteText"/>
      </w:pPr>
      <w:r>
        <w:rPr>
          <w:rStyle w:val="FootnoteReference"/>
        </w:rPr>
        <w:footnoteRef/>
      </w:r>
      <w:r>
        <w:t xml:space="preserve"> “</w:t>
      </w:r>
      <w:r w:rsidRPr="006D5FD7">
        <w:t>Reimagining with Purpose: ASCCC Strategic Planning Session December 2022 to February 2023</w:t>
      </w:r>
      <w:r>
        <w:t xml:space="preserve">.” (Power Point) may be found at </w:t>
      </w:r>
      <w:hyperlink r:id="rId6" w:history="1">
        <w:r w:rsidRPr="0082796E">
          <w:rPr>
            <w:rStyle w:val="Hyperlink"/>
          </w:rPr>
          <w:t>https://asccc.org/sites/default/files/2023-02/ASCCC%20Strategic%20Planning%20Process%202023-2026.pdf</w:t>
        </w:r>
      </w:hyperlink>
      <w:r>
        <w:t xml:space="preserve">. </w:t>
      </w:r>
    </w:p>
  </w:footnote>
  <w:footnote w:id="8">
    <w:p w14:paraId="5B808682" w14:textId="2A334664" w:rsidR="00565CD0" w:rsidRDefault="00565CD0">
      <w:pPr>
        <w:pStyle w:val="FootnoteText"/>
      </w:pPr>
      <w:r>
        <w:rPr>
          <w:rStyle w:val="FootnoteReference"/>
        </w:rPr>
        <w:footnoteRef/>
      </w:r>
      <w:r w:rsidR="194E0518">
        <w:t xml:space="preserve"> </w:t>
      </w:r>
      <w:r w:rsidR="194E0518" w:rsidRPr="006D5FD7">
        <w:t>2023</w:t>
      </w:r>
      <w:r w:rsidR="194E0518">
        <w:t>—</w:t>
      </w:r>
      <w:r w:rsidR="194E0518" w:rsidRPr="006D5FD7">
        <w:t xml:space="preserve">2026 ASCCC Strategic Goals </w:t>
      </w:r>
      <w:r w:rsidR="194E0518">
        <w:t xml:space="preserve">can be found at </w:t>
      </w:r>
      <w:hyperlink r:id="rId7" w:history="1">
        <w:r w:rsidR="194E0518" w:rsidRPr="0082796E">
          <w:rPr>
            <w:rStyle w:val="Hyperlink"/>
          </w:rPr>
          <w:t>https://asccc.org/sites/default/files/2023-02/23-26%20Strategic%20Plan%20Directions%20ASCCC.pdf</w:t>
        </w:r>
      </w:hyperlink>
      <w:r w:rsidR="194E0518">
        <w:t xml:space="preserve">. </w:t>
      </w:r>
    </w:p>
  </w:footnote>
  <w:footnote w:id="9">
    <w:p w14:paraId="7139F6D6" w14:textId="77777777" w:rsidR="00565CD0" w:rsidRDefault="00565CD0" w:rsidP="00565CD0">
      <w:pPr>
        <w:pStyle w:val="FootnoteText"/>
      </w:pPr>
      <w:r>
        <w:rPr>
          <w:rStyle w:val="FootnoteReference"/>
        </w:rPr>
        <w:footnoteRef/>
      </w:r>
      <w:r>
        <w:t xml:space="preserve"> </w:t>
      </w:r>
      <w:r w:rsidRPr="00E744E7">
        <w:t xml:space="preserve">AB 607 (Kalra): </w:t>
      </w:r>
      <w:hyperlink r:id="rId8" w:history="1">
        <w:r w:rsidRPr="0082796E">
          <w:rPr>
            <w:rStyle w:val="Hyperlink"/>
          </w:rPr>
          <w:t>https://leginfo.legislature.ca.gov/faces/billNavClient.xhtml?bill_id=202320240AB607</w:t>
        </w:r>
      </w:hyperlink>
      <w:r>
        <w:t xml:space="preserve">. </w:t>
      </w:r>
    </w:p>
  </w:footnote>
  <w:footnote w:id="10">
    <w:p w14:paraId="57BF50B3" w14:textId="77777777" w:rsidR="00565CD0" w:rsidRPr="005B409C" w:rsidRDefault="00565CD0" w:rsidP="00565CD0">
      <w:pPr>
        <w:pStyle w:val="FootnoteText"/>
      </w:pPr>
      <w:r>
        <w:rPr>
          <w:rStyle w:val="FootnoteReference"/>
        </w:rPr>
        <w:footnoteRef/>
      </w:r>
      <w:r w:rsidRPr="005B409C">
        <w:t xml:space="preserve"> California Education Code §66406.9: </w:t>
      </w:r>
      <w:hyperlink r:id="rId9" w:history="1">
        <w:r w:rsidRPr="005B409C">
          <w:rPr>
            <w:rStyle w:val="Hyperlink"/>
          </w:rPr>
          <w:t>https://codes.findlaw.com/ca/education-code/edc-sect-66406-9.html</w:t>
        </w:r>
      </w:hyperlink>
      <w:r w:rsidRPr="005B409C">
        <w:t xml:space="preserve">. </w:t>
      </w:r>
    </w:p>
  </w:footnote>
  <w:footnote w:id="11">
    <w:p w14:paraId="6187BEAA" w14:textId="77777777" w:rsidR="00565CD0" w:rsidRDefault="00565CD0" w:rsidP="00565CD0">
      <w:pPr>
        <w:pStyle w:val="FootnoteText"/>
      </w:pPr>
      <w:r>
        <w:rPr>
          <w:rStyle w:val="FootnoteReference"/>
        </w:rPr>
        <w:footnoteRef/>
      </w:r>
      <w:r>
        <w:t xml:space="preserve"> Ibid.</w:t>
      </w:r>
    </w:p>
  </w:footnote>
  <w:footnote w:id="12">
    <w:p w14:paraId="2FAA5F38" w14:textId="77777777" w:rsidR="00565CD0" w:rsidRDefault="00565CD0" w:rsidP="00565CD0">
      <w:pPr>
        <w:pStyle w:val="FootnoteText"/>
      </w:pPr>
      <w:r>
        <w:rPr>
          <w:rStyle w:val="FootnoteReference"/>
        </w:rPr>
        <w:footnoteRef/>
      </w:r>
      <w:r>
        <w:t xml:space="preserve"> </w:t>
      </w:r>
      <w:r w:rsidRPr="00433B6C">
        <w:t>Resolution F20 20.02 Ensure Course Cost Transparency for Students</w:t>
      </w:r>
      <w:r>
        <w:t>:</w:t>
      </w:r>
      <w:r w:rsidRPr="00433B6C">
        <w:t xml:space="preserve"> </w:t>
      </w:r>
      <w:hyperlink r:id="rId10" w:history="1">
        <w:r w:rsidRPr="0082796E">
          <w:rPr>
            <w:rStyle w:val="Hyperlink"/>
          </w:rPr>
          <w:t>https://www.asccc.org/resolutions/ensure-course-cost-transparency-students</w:t>
        </w:r>
      </w:hyperlink>
      <w:r>
        <w:t xml:space="preserve">. </w:t>
      </w:r>
    </w:p>
  </w:footnote>
  <w:footnote w:id="13">
    <w:p w14:paraId="3613AA8E" w14:textId="77777777" w:rsidR="00565CD0" w:rsidRDefault="00565CD0" w:rsidP="00565CD0">
      <w:pPr>
        <w:pStyle w:val="FootnoteText"/>
      </w:pPr>
      <w:r>
        <w:rPr>
          <w:rStyle w:val="FootnoteReference"/>
        </w:rPr>
        <w:footnoteRef/>
      </w:r>
      <w:r>
        <w:t xml:space="preserve"> </w:t>
      </w:r>
      <w:r w:rsidRPr="0034631E">
        <w:t>California Code of Regulations, title 5</w:t>
      </w:r>
      <w:r>
        <w:t>,</w:t>
      </w:r>
      <w:r w:rsidRPr="0034631E">
        <w:t xml:space="preserve"> §59402</w:t>
      </w:r>
      <w:r w:rsidRPr="006E6725">
        <w:t xml:space="preserve">: </w:t>
      </w:r>
      <w:hyperlink r:id="rId11" w:history="1">
        <w:r w:rsidRPr="0082796E">
          <w:rPr>
            <w:rStyle w:val="Hyperlink"/>
          </w:rPr>
          <w:t>https://casetext.com/regulation/california-code-of-regulations/title-5-education/division-6-california-community-colleges/chapter-10-community-college-administration/subchapter-7-instructional-materials/section-59402-definitions</w:t>
        </w:r>
      </w:hyperlink>
      <w:r>
        <w:t xml:space="preserve">. </w:t>
      </w:r>
    </w:p>
  </w:footnote>
  <w:footnote w:id="14">
    <w:p w14:paraId="2B82E0CE" w14:textId="77777777" w:rsidR="00565CD0" w:rsidRDefault="00565CD0" w:rsidP="00565CD0">
      <w:pPr>
        <w:pStyle w:val="FootnoteText"/>
      </w:pPr>
      <w:r w:rsidRPr="5906F1B2">
        <w:rPr>
          <w:rStyle w:val="FootnoteReference"/>
        </w:rPr>
        <w:footnoteRef/>
      </w:r>
      <w:r>
        <w:t xml:space="preserve"> California Education Code §66406.9: </w:t>
      </w:r>
      <w:hyperlink r:id="rId12">
        <w:r w:rsidRPr="5906F1B2">
          <w:rPr>
            <w:rStyle w:val="Hyperlink"/>
          </w:rPr>
          <w:t>https://codes.findlaw.com/ca/education-code/edc-sect-66406-9.html</w:t>
        </w:r>
      </w:hyperlink>
      <w:r>
        <w:t>.</w:t>
      </w:r>
    </w:p>
  </w:footnote>
  <w:footnote w:id="15">
    <w:p w14:paraId="6BCB3579" w14:textId="77777777" w:rsidR="00565CD0" w:rsidRDefault="00565CD0" w:rsidP="00565CD0">
      <w:pPr>
        <w:pStyle w:val="FootnoteText"/>
      </w:pPr>
      <w:r>
        <w:rPr>
          <w:rStyle w:val="FootnoteReference"/>
        </w:rPr>
        <w:footnoteRef/>
      </w:r>
      <w:r w:rsidRPr="00580578">
        <w:t xml:space="preserve"> California Code of </w:t>
      </w:r>
      <w:r>
        <w:t xml:space="preserve">Regulations, </w:t>
      </w:r>
      <w:r w:rsidRPr="00580578">
        <w:t>title 5, §55031 Standards for Probation</w:t>
      </w:r>
      <w:r>
        <w:t xml:space="preserve">: </w:t>
      </w:r>
      <w:hyperlink r:id="rId13" w:anchor=":~:text=A%20student%20who%20has%20attempted,system%20described%20in%20section%2055023" w:history="1">
        <w:r w:rsidRPr="0082796E">
          <w:rPr>
            <w:rStyle w:val="Hyperlink"/>
          </w:rPr>
          <w:t>https://casetext.com/regulation/california-code-of-regulations/title-5-education/division-6-california-community-colleges/chapter-6-curriculum-and-instruction/subchapter-1-programs-courses-and-classes/article-3-probation-and-dismissal/section-55031-standards-for-probation#:~:text=A%20student%20who%20has%20attempted,system%20described%20in%20section%2055023</w:t>
        </w:r>
      </w:hyperlink>
      <w:r>
        <w:t xml:space="preserve">. </w:t>
      </w:r>
    </w:p>
  </w:footnote>
  <w:footnote w:id="16">
    <w:p w14:paraId="47CB7143" w14:textId="3A0049F9" w:rsidR="00565CD0" w:rsidRPr="00580578" w:rsidRDefault="00565CD0" w:rsidP="194E0518">
      <w:pPr>
        <w:pStyle w:val="FootnoteText"/>
        <w:rPr>
          <w:i/>
          <w:iCs/>
        </w:rPr>
      </w:pPr>
      <w:r>
        <w:rPr>
          <w:rStyle w:val="FootnoteReference"/>
        </w:rPr>
        <w:footnoteRef/>
      </w:r>
      <w:r w:rsidR="194E0518">
        <w:t xml:space="preserve"> </w:t>
      </w:r>
      <w:r w:rsidR="194E0518" w:rsidRPr="194E0518">
        <w:rPr>
          <w:i/>
          <w:iCs/>
        </w:rPr>
        <w:t xml:space="preserve">The African American Tipping Point: Identifying the Factors that Impact Transfer Among African American/Black Community College Students Brief 1 of 3 </w:t>
      </w:r>
      <w:r w:rsidR="194E0518">
        <w:t>may be found at</w:t>
      </w:r>
    </w:p>
    <w:p w14:paraId="62C4F812" w14:textId="77777777" w:rsidR="00565CD0" w:rsidRDefault="00000000" w:rsidP="00565CD0">
      <w:pPr>
        <w:pStyle w:val="FootnoteText"/>
      </w:pPr>
      <w:hyperlink r:id="rId14" w:history="1">
        <w:r w:rsidR="00565CD0" w:rsidRPr="0082796E">
          <w:rPr>
            <w:rStyle w:val="Hyperlink"/>
          </w:rPr>
          <w:t>https://rpgroup.org/Portals/0/Documents/Projects/African_American_Transfer_Tipping_Point-(AATTP)-Study/AATTP_Brief1_Fall2022.pdf</w:t>
        </w:r>
      </w:hyperlink>
      <w:r w:rsidR="00565CD0">
        <w:t xml:space="preserve">. </w:t>
      </w:r>
    </w:p>
  </w:footnote>
  <w:footnote w:id="17">
    <w:p w14:paraId="396DB77C" w14:textId="77777777" w:rsidR="00565CD0" w:rsidRDefault="00565CD0" w:rsidP="00565CD0">
      <w:pPr>
        <w:pStyle w:val="FootnoteText"/>
      </w:pPr>
      <w:r>
        <w:rPr>
          <w:rStyle w:val="FootnoteReference"/>
        </w:rPr>
        <w:footnoteRef/>
      </w:r>
      <w:r>
        <w:t xml:space="preserve"> Ibid.</w:t>
      </w:r>
    </w:p>
  </w:footnote>
  <w:footnote w:id="18">
    <w:p w14:paraId="4124EDEF" w14:textId="77777777" w:rsidR="00565CD0" w:rsidRDefault="00565CD0" w:rsidP="00565CD0">
      <w:pPr>
        <w:pStyle w:val="FootnoteText"/>
      </w:pPr>
      <w:r>
        <w:rPr>
          <w:rStyle w:val="FootnoteReference"/>
        </w:rPr>
        <w:footnoteRef/>
      </w:r>
      <w:r>
        <w:t xml:space="preserve"> Ibid.</w:t>
      </w:r>
    </w:p>
  </w:footnote>
  <w:footnote w:id="19">
    <w:p w14:paraId="40C8B427" w14:textId="7D5DFDF9" w:rsidR="00565CD0" w:rsidRDefault="00565CD0" w:rsidP="00565CD0">
      <w:pPr>
        <w:pStyle w:val="FootnoteText"/>
      </w:pPr>
      <w:r>
        <w:rPr>
          <w:rStyle w:val="FootnoteReference"/>
        </w:rPr>
        <w:footnoteRef/>
      </w:r>
      <w:r w:rsidR="194E0518">
        <w:t xml:space="preserve"> </w:t>
      </w:r>
      <w:r w:rsidR="194E0518" w:rsidRPr="00797A4A">
        <w:t xml:space="preserve">Classification of Instructional Programs (CIP) codes </w:t>
      </w:r>
      <w:r w:rsidR="194E0518">
        <w:t xml:space="preserve">are </w:t>
      </w:r>
      <w:r w:rsidR="194E0518" w:rsidRPr="00797A4A">
        <w:t xml:space="preserve">used nationally by the US Department of Education and </w:t>
      </w:r>
      <w:r w:rsidR="194E0518">
        <w:t xml:space="preserve">only </w:t>
      </w:r>
      <w:r w:rsidR="194E0518" w:rsidRPr="00797A4A">
        <w:t>required of California community colleges in contexts such as IPEDs and accreditation</w:t>
      </w:r>
      <w:r w:rsidR="194E0518">
        <w:t xml:space="preserve">. Resolution F10 09.02: </w:t>
      </w:r>
      <w:r w:rsidR="194E0518" w:rsidRPr="00F91A6E">
        <w:t>Examining Conversion from TOP to CIP</w:t>
      </w:r>
      <w:r w:rsidR="194E0518">
        <w:t xml:space="preserve"> asked for the work to begin and</w:t>
      </w:r>
      <w:r w:rsidR="194E0518" w:rsidRPr="00C64E85">
        <w:t xml:space="preserve"> </w:t>
      </w:r>
      <w:r w:rsidR="194E0518">
        <w:t>to “</w:t>
      </w:r>
      <w:r w:rsidR="194E0518" w:rsidRPr="00C64E85">
        <w:t>provide communication and implementation strategies if a greater conversion of TOP to CIP codes is inaugurated</w:t>
      </w:r>
      <w:r w:rsidR="194E0518">
        <w:t xml:space="preserve">”: </w:t>
      </w:r>
      <w:hyperlink r:id="rId15" w:history="1">
        <w:r w:rsidR="194E0518" w:rsidRPr="00551C86">
          <w:rPr>
            <w:rStyle w:val="Hyperlink"/>
          </w:rPr>
          <w:t>https://asccc.org/resolutions/examining-conversion-top-cip</w:t>
        </w:r>
      </w:hyperlink>
      <w:r w:rsidR="194E0518">
        <w:t xml:space="preserve">. </w:t>
      </w:r>
    </w:p>
  </w:footnote>
  <w:footnote w:id="20">
    <w:p w14:paraId="6EB41D33" w14:textId="77777777" w:rsidR="00565CD0" w:rsidRDefault="00565CD0" w:rsidP="00565CD0">
      <w:pPr>
        <w:pStyle w:val="FootnoteText"/>
      </w:pPr>
      <w:r>
        <w:rPr>
          <w:rStyle w:val="FootnoteReference"/>
        </w:rPr>
        <w:footnoteRef/>
      </w:r>
      <w:r>
        <w:t xml:space="preserve"> The TOP to CIP Plan of Action created by the initial California Community Colleges Curriculum Committee workgroup that began meeting in 2018 can be found at </w:t>
      </w:r>
      <w:hyperlink r:id="rId16" w:history="1">
        <w:r w:rsidRPr="00551C86">
          <w:rPr>
            <w:rStyle w:val="Hyperlink"/>
          </w:rPr>
          <w:t>https://docs.google.com/document/d/15mjK89tej0tnz-bmr6dhaBgK8pF02uFqNcT_sYWrGVw/edit?usp=sharing</w:t>
        </w:r>
      </w:hyperlink>
      <w:r>
        <w:t xml:space="preserve">. </w:t>
      </w:r>
    </w:p>
  </w:footnote>
  <w:footnote w:id="21">
    <w:p w14:paraId="6CB52275" w14:textId="77777777" w:rsidR="00565CD0" w:rsidRDefault="00565CD0">
      <w:pPr>
        <w:pStyle w:val="FootnoteText"/>
      </w:pPr>
      <w:r>
        <w:rPr>
          <w:rStyle w:val="FootnoteReference"/>
        </w:rPr>
        <w:footnoteRef/>
      </w:r>
      <w:r>
        <w:t xml:space="preserve"> </w:t>
      </w:r>
      <w:r w:rsidRPr="008D50D4">
        <w:t xml:space="preserve">Resolution </w:t>
      </w:r>
      <w:r>
        <w:t xml:space="preserve">F18 </w:t>
      </w:r>
      <w:r w:rsidRPr="008D50D4">
        <w:t>17.01 Guided Pathways, Strategic Enrollment Management, and Program Planning</w:t>
      </w:r>
      <w:r>
        <w:t>:</w:t>
      </w:r>
      <w:r w:rsidRPr="008D50D4">
        <w:t xml:space="preserve"> </w:t>
      </w:r>
      <w:hyperlink r:id="rId17" w:history="1">
        <w:r w:rsidRPr="0082796E">
          <w:rPr>
            <w:rStyle w:val="Hyperlink"/>
          </w:rPr>
          <w:t>https://www.asccc.org/resolutions/guided-pathways-strategic-enrollment-management-and-program-planning</w:t>
        </w:r>
      </w:hyperlink>
      <w:r>
        <w:t xml:space="preserve">. </w:t>
      </w:r>
    </w:p>
  </w:footnote>
  <w:footnote w:id="22">
    <w:p w14:paraId="7BF7DEA8" w14:textId="77777777" w:rsidR="00565CD0" w:rsidRDefault="00565CD0">
      <w:pPr>
        <w:pStyle w:val="FootnoteText"/>
      </w:pPr>
      <w:r>
        <w:rPr>
          <w:rStyle w:val="FootnoteReference"/>
        </w:rPr>
        <w:footnoteRef/>
      </w:r>
      <w:r>
        <w:t xml:space="preserve"> </w:t>
      </w:r>
      <w:r w:rsidRPr="00C23C70">
        <w:t>“Role of Academic Senates in Enrollment Management”</w:t>
      </w:r>
      <w:r>
        <w:t xml:space="preserve"> (1999) found at </w:t>
      </w:r>
      <w:hyperlink r:id="rId18" w:history="1">
        <w:r w:rsidRPr="0082796E">
          <w:rPr>
            <w:rStyle w:val="Hyperlink"/>
          </w:rPr>
          <w:t>https://www.asccc.org/papers/role-academic-senates-enrollment-management</w:t>
        </w:r>
      </w:hyperlink>
      <w:r>
        <w:t xml:space="preserve">. </w:t>
      </w:r>
    </w:p>
  </w:footnote>
  <w:footnote w:id="23">
    <w:p w14:paraId="6F25D27B" w14:textId="77777777" w:rsidR="00565CD0" w:rsidRDefault="00565CD0">
      <w:pPr>
        <w:pStyle w:val="FootnoteText"/>
      </w:pPr>
      <w:r>
        <w:rPr>
          <w:rStyle w:val="FootnoteReference"/>
        </w:rPr>
        <w:footnoteRef/>
      </w:r>
      <w:r>
        <w:t xml:space="preserve"> </w:t>
      </w:r>
      <w:r w:rsidRPr="003F1A3F">
        <w:t xml:space="preserve">“Enrollment Management Revisited” </w:t>
      </w:r>
      <w:r>
        <w:t xml:space="preserve">(2009) found at </w:t>
      </w:r>
      <w:hyperlink r:id="rId19" w:history="1">
        <w:r w:rsidRPr="0082796E">
          <w:rPr>
            <w:rStyle w:val="Hyperlink"/>
          </w:rPr>
          <w:t>https://www.asccc.org/papers/enrollment-management-revisited</w:t>
        </w:r>
      </w:hyperlink>
      <w:r>
        <w:t xml:space="preserve">. </w:t>
      </w:r>
    </w:p>
  </w:footnote>
  <w:footnote w:id="24">
    <w:p w14:paraId="4C4A3F20" w14:textId="6C820590" w:rsidR="194E0518" w:rsidRDefault="194E0518" w:rsidP="194E0518">
      <w:pPr>
        <w:pStyle w:val="FootnoteText"/>
      </w:pPr>
      <w:r w:rsidRPr="194E0518">
        <w:rPr>
          <w:rStyle w:val="FootnoteReference"/>
        </w:rPr>
        <w:footnoteRef/>
      </w:r>
      <w:r>
        <w:t xml:space="preserve"> ”Enrollment Management Revisited Again: Post Pandemic” </w:t>
      </w:r>
      <w:r w:rsidRPr="00EE05DC">
        <w:t xml:space="preserve">can be found at </w:t>
      </w:r>
      <w:hyperlink r:id="rId20" w:history="1">
        <w:r w:rsidR="00EE05DC" w:rsidRPr="00334282">
          <w:rPr>
            <w:rStyle w:val="Hyperlink"/>
          </w:rPr>
          <w:t>https://www.asccc.org/sites/default/files/2023-03/Enrollment%20Management%20Revisited%20Again%20-%203.17.23.pdf</w:t>
        </w:r>
      </w:hyperlink>
      <w:r w:rsidR="00EE05DC">
        <w:t xml:space="preserve"> </w:t>
      </w:r>
    </w:p>
  </w:footnote>
  <w:footnote w:id="25">
    <w:p w14:paraId="0F371E10" w14:textId="77777777" w:rsidR="00565CD0" w:rsidRDefault="00565CD0" w:rsidP="00905827">
      <w:pPr>
        <w:pStyle w:val="FootnoteText"/>
      </w:pPr>
      <w:r>
        <w:rPr>
          <w:rStyle w:val="FootnoteReference"/>
        </w:rPr>
        <w:footnoteRef/>
      </w:r>
      <w:r>
        <w:t xml:space="preserve"> </w:t>
      </w:r>
      <w:r w:rsidRPr="00192316">
        <w:t xml:space="preserve">Resolution </w:t>
      </w:r>
      <w:r>
        <w:t xml:space="preserve">S22 </w:t>
      </w:r>
      <w:r w:rsidRPr="00192316">
        <w:t>13.02 Faculty Responsibility for Equitable, Accessible Learning Environments</w:t>
      </w:r>
      <w:r>
        <w:t>:</w:t>
      </w:r>
      <w:r w:rsidRPr="00192316">
        <w:t xml:space="preserve"> </w:t>
      </w:r>
      <w:hyperlink r:id="rId21" w:history="1">
        <w:r w:rsidRPr="0082796E">
          <w:rPr>
            <w:rStyle w:val="Hyperlink"/>
          </w:rPr>
          <w:t>https://asccc.org/resolutions/faculty-responsibility-equitable-accessible-learning-environments</w:t>
        </w:r>
      </w:hyperlink>
      <w:r>
        <w:t xml:space="preserve">. </w:t>
      </w:r>
    </w:p>
  </w:footnote>
  <w:footnote w:id="26">
    <w:p w14:paraId="508901FC" w14:textId="77777777" w:rsidR="00565CD0" w:rsidRPr="00936277" w:rsidRDefault="00565CD0">
      <w:pPr>
        <w:pStyle w:val="FootnoteText"/>
      </w:pPr>
      <w:r>
        <w:rPr>
          <w:rStyle w:val="FootnoteReference"/>
        </w:rPr>
        <w:footnoteRef/>
      </w:r>
      <w:r>
        <w:t xml:space="preserve"> “</w:t>
      </w:r>
      <w:r w:rsidRPr="0044447C">
        <w:t>Protecting Students With Disabilities</w:t>
      </w:r>
      <w:r>
        <w:t xml:space="preserve">.” </w:t>
      </w:r>
      <w:r w:rsidRPr="00936277">
        <w:t>(10 Janu</w:t>
      </w:r>
      <w:r>
        <w:t>ary 2020). US Department of Education.</w:t>
      </w:r>
      <w:r w:rsidRPr="00936277">
        <w:t xml:space="preserve"> </w:t>
      </w:r>
      <w:hyperlink r:id="rId22" w:history="1">
        <w:r w:rsidRPr="00936277">
          <w:rPr>
            <w:rStyle w:val="Hyperlink"/>
          </w:rPr>
          <w:t>https://www2.ed.gov/about/offices/list/ocr/504faq.html</w:t>
        </w:r>
      </w:hyperlink>
      <w:r w:rsidRPr="00936277">
        <w:t xml:space="preserve">. </w:t>
      </w:r>
    </w:p>
  </w:footnote>
  <w:footnote w:id="27">
    <w:p w14:paraId="331E06E6" w14:textId="77777777" w:rsidR="00565CD0" w:rsidRPr="00FE741A" w:rsidRDefault="00565CD0">
      <w:pPr>
        <w:pStyle w:val="FootnoteText"/>
      </w:pPr>
      <w:r>
        <w:rPr>
          <w:rStyle w:val="FootnoteReference"/>
        </w:rPr>
        <w:footnoteRef/>
      </w:r>
      <w:r w:rsidRPr="002965D6">
        <w:t xml:space="preserve"> “Section 508 Compliance" (2023). </w:t>
      </w:r>
      <w:r w:rsidRPr="00FE741A">
        <w:t xml:space="preserve">Level </w:t>
      </w:r>
      <w:r>
        <w:t xml:space="preserve">Access. </w:t>
      </w:r>
      <w:hyperlink r:id="rId23" w:history="1">
        <w:r w:rsidRPr="0082796E">
          <w:rPr>
            <w:rStyle w:val="Hyperlink"/>
          </w:rPr>
          <w:t>https://www.levelaccess.com/accessibility-regulations/section-508-rehabilitation-act/</w:t>
        </w:r>
      </w:hyperlink>
      <w:r w:rsidRPr="00FE741A">
        <w:t xml:space="preserve">. </w:t>
      </w:r>
    </w:p>
  </w:footnote>
  <w:footnote w:id="28">
    <w:p w14:paraId="3EF01886" w14:textId="7EF788C0" w:rsidR="194E0518" w:rsidRDefault="194E0518" w:rsidP="194E0518">
      <w:pPr>
        <w:pStyle w:val="FootnoteText"/>
      </w:pPr>
      <w:r w:rsidRPr="194E0518">
        <w:rPr>
          <w:rStyle w:val="FootnoteReference"/>
        </w:rPr>
        <w:footnoteRef/>
      </w:r>
      <w:r>
        <w:t xml:space="preserve"> ”Effective and Equitable Online Education: A Faculty Perspective” </w:t>
      </w:r>
      <w:r w:rsidRPr="003C7FB3">
        <w:t xml:space="preserve">can be found at </w:t>
      </w:r>
      <w:hyperlink r:id="rId24" w:history="1">
        <w:r w:rsidR="00004315" w:rsidRPr="00334282">
          <w:rPr>
            <w:rStyle w:val="Hyperlink"/>
          </w:rPr>
          <w:t>https://asccc.org/sites/default/files/2023-03/Effective%20and%20Equitable%20Online%20Education_Final_03_16_2023.pdf</w:t>
        </w:r>
      </w:hyperlink>
      <w:r w:rsidRPr="003C7FB3">
        <w:t>.</w:t>
      </w:r>
      <w:r w:rsidR="00004315">
        <w:t xml:space="preserve"> </w:t>
      </w:r>
    </w:p>
  </w:footnote>
  <w:footnote w:id="29">
    <w:p w14:paraId="1EA6A8AA" w14:textId="46081C93" w:rsidR="007F0078" w:rsidRDefault="007F0078">
      <w:pPr>
        <w:pStyle w:val="FootnoteText"/>
      </w:pPr>
      <w:r>
        <w:rPr>
          <w:rStyle w:val="FootnoteReference"/>
        </w:rPr>
        <w:footnoteRef/>
      </w:r>
      <w:r>
        <w:t xml:space="preserve"> SR 45 (Min, 2021): </w:t>
      </w:r>
      <w:hyperlink r:id="rId25" w:history="1">
        <w:r w:rsidRPr="0076151F">
          <w:rPr>
            <w:rStyle w:val="Hyperlink"/>
          </w:rPr>
          <w:t>https://leginfo.legislature.ca.gov/faces/billTextClient.xhtml?bill_id=202120220SR45</w:t>
        </w:r>
      </w:hyperlink>
      <w:r>
        <w:t xml:space="preserve"> </w:t>
      </w:r>
    </w:p>
  </w:footnote>
  <w:footnote w:id="30">
    <w:p w14:paraId="364FCEDF" w14:textId="77777777" w:rsidR="002965D6" w:rsidRDefault="002965D6" w:rsidP="002965D6">
      <w:pPr>
        <w:pStyle w:val="FootnoteText"/>
      </w:pPr>
      <w:r>
        <w:rPr>
          <w:rStyle w:val="FootnoteReference"/>
        </w:rPr>
        <w:footnoteRef/>
      </w:r>
      <w:r>
        <w:t xml:space="preserve"> Senate Resolution 45 (Min). March 16, 2022: </w:t>
      </w:r>
      <w:hyperlink r:id="rId26" w:history="1">
        <w:r w:rsidRPr="0082796E">
          <w:rPr>
            <w:rStyle w:val="Hyperlink"/>
          </w:rPr>
          <w:t>https://sjud.senate.ca.gov/sites/sjud.senate.ca.gov/files/sr_45_min_sjud_analysis.pdf</w:t>
        </w:r>
      </w:hyperlink>
      <w:r>
        <w:t xml:space="preserve">. </w:t>
      </w:r>
    </w:p>
  </w:footnote>
  <w:footnote w:id="31">
    <w:p w14:paraId="2EBFFFCE" w14:textId="77777777" w:rsidR="002965D6" w:rsidRDefault="002965D6" w:rsidP="002965D6">
      <w:pPr>
        <w:pStyle w:val="FootnoteText"/>
      </w:pPr>
      <w:r>
        <w:rPr>
          <w:rStyle w:val="FootnoteReference"/>
        </w:rPr>
        <w:footnoteRef/>
      </w:r>
      <w:r w:rsidRPr="00014BA7">
        <w:t xml:space="preserve"> California Code of Reg</w:t>
      </w:r>
      <w:r>
        <w:t xml:space="preserve">ulations, title </w:t>
      </w:r>
      <w:r w:rsidRPr="00014BA7">
        <w:t>5</w:t>
      </w:r>
      <w:r>
        <w:t>,</w:t>
      </w:r>
      <w:r w:rsidRPr="00014BA7">
        <w:t xml:space="preserve"> §51023: </w:t>
      </w:r>
      <w:hyperlink r:id="rId27" w:history="1">
        <w:r w:rsidRPr="0082796E">
          <w:rPr>
            <w:rStyle w:val="Hyperlink"/>
          </w:rPr>
          <w:t>https://casetext.com/regulation/california-code-of-regulations/title-5-education/division-6-california-community-colleges/chapter-2-community-college-standards/subchapter-1-minimum-conditions/section-51023-faculty</w:t>
        </w:r>
      </w:hyperlink>
      <w:r>
        <w:t xml:space="preserve">. </w:t>
      </w:r>
    </w:p>
  </w:footnote>
  <w:footnote w:id="32">
    <w:p w14:paraId="16C53D8E" w14:textId="77777777" w:rsidR="002965D6" w:rsidRDefault="002965D6" w:rsidP="002965D6">
      <w:pPr>
        <w:pStyle w:val="FootnoteText"/>
      </w:pPr>
      <w:r>
        <w:rPr>
          <w:rStyle w:val="FootnoteReference"/>
        </w:rPr>
        <w:footnoteRef/>
      </w:r>
      <w:r>
        <w:t xml:space="preserve"> Senate Resolution 45 (Min). March 16, 2022: </w:t>
      </w:r>
      <w:hyperlink r:id="rId28" w:history="1">
        <w:r w:rsidRPr="0082796E">
          <w:rPr>
            <w:rStyle w:val="Hyperlink"/>
          </w:rPr>
          <w:t>https://sjud.senate.ca.gov/sites/sjud.senate.ca.gov/files/sr_45_min_sjud_analysis.pdf</w:t>
        </w:r>
      </w:hyperlink>
      <w:r>
        <w:t>.</w:t>
      </w:r>
    </w:p>
  </w:footnote>
  <w:footnote w:id="33">
    <w:p w14:paraId="27D74183" w14:textId="77777777" w:rsidR="002965D6" w:rsidRDefault="002965D6" w:rsidP="002965D6">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B068" w14:textId="77777777" w:rsidR="00A6250E" w:rsidRDefault="00A62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7844" w14:textId="62DC9732" w:rsidR="00A6250E" w:rsidRDefault="00A62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A01D" w14:textId="77777777" w:rsidR="00A6250E" w:rsidRDefault="00A62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44FB"/>
    <w:multiLevelType w:val="multilevel"/>
    <w:tmpl w:val="075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760CC"/>
    <w:multiLevelType w:val="hybridMultilevel"/>
    <w:tmpl w:val="652CBD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6DF06FF5"/>
    <w:multiLevelType w:val="multilevel"/>
    <w:tmpl w:val="A7E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76641">
    <w:abstractNumId w:val="0"/>
  </w:num>
  <w:num w:numId="2" w16cid:durableId="53624704">
    <w:abstractNumId w:val="2"/>
  </w:num>
  <w:num w:numId="3" w16cid:durableId="1250431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FF"/>
    <w:rsid w:val="00004315"/>
    <w:rsid w:val="000146CE"/>
    <w:rsid w:val="00014BA7"/>
    <w:rsid w:val="00021468"/>
    <w:rsid w:val="0002277B"/>
    <w:rsid w:val="00037344"/>
    <w:rsid w:val="0003775A"/>
    <w:rsid w:val="00054EC0"/>
    <w:rsid w:val="00076FEE"/>
    <w:rsid w:val="000A25F1"/>
    <w:rsid w:val="000D6CE0"/>
    <w:rsid w:val="000F28EF"/>
    <w:rsid w:val="00100F70"/>
    <w:rsid w:val="00116FC6"/>
    <w:rsid w:val="0012231C"/>
    <w:rsid w:val="00141CF1"/>
    <w:rsid w:val="001600B9"/>
    <w:rsid w:val="0017055F"/>
    <w:rsid w:val="00187360"/>
    <w:rsid w:val="00192316"/>
    <w:rsid w:val="001C0571"/>
    <w:rsid w:val="001D5DA6"/>
    <w:rsid w:val="001F4A0E"/>
    <w:rsid w:val="001F747E"/>
    <w:rsid w:val="002332FE"/>
    <w:rsid w:val="00240A5A"/>
    <w:rsid w:val="00276AFF"/>
    <w:rsid w:val="00291AA8"/>
    <w:rsid w:val="002965D6"/>
    <w:rsid w:val="002975B3"/>
    <w:rsid w:val="002A0013"/>
    <w:rsid w:val="002A13E8"/>
    <w:rsid w:val="002F0B7A"/>
    <w:rsid w:val="00333E3B"/>
    <w:rsid w:val="003402EF"/>
    <w:rsid w:val="0034631E"/>
    <w:rsid w:val="003930D3"/>
    <w:rsid w:val="00394318"/>
    <w:rsid w:val="003A0C38"/>
    <w:rsid w:val="003C7FB3"/>
    <w:rsid w:val="003F0AAF"/>
    <w:rsid w:val="003F1A3F"/>
    <w:rsid w:val="003F5D09"/>
    <w:rsid w:val="00433B6C"/>
    <w:rsid w:val="00436826"/>
    <w:rsid w:val="0044447C"/>
    <w:rsid w:val="004565B2"/>
    <w:rsid w:val="004A3D1E"/>
    <w:rsid w:val="004B3AB0"/>
    <w:rsid w:val="004B4236"/>
    <w:rsid w:val="004C3F62"/>
    <w:rsid w:val="004C6F11"/>
    <w:rsid w:val="004E342B"/>
    <w:rsid w:val="004F23D1"/>
    <w:rsid w:val="004F3B44"/>
    <w:rsid w:val="00516C8C"/>
    <w:rsid w:val="00517EBC"/>
    <w:rsid w:val="00526294"/>
    <w:rsid w:val="0053355E"/>
    <w:rsid w:val="005542A0"/>
    <w:rsid w:val="00565CD0"/>
    <w:rsid w:val="00580578"/>
    <w:rsid w:val="005966F8"/>
    <w:rsid w:val="005A6C4A"/>
    <w:rsid w:val="005B409C"/>
    <w:rsid w:val="005E6C35"/>
    <w:rsid w:val="005F7352"/>
    <w:rsid w:val="00606790"/>
    <w:rsid w:val="006278B9"/>
    <w:rsid w:val="00641F3F"/>
    <w:rsid w:val="00657E70"/>
    <w:rsid w:val="00664351"/>
    <w:rsid w:val="00665F10"/>
    <w:rsid w:val="006C1C00"/>
    <w:rsid w:val="006C67F0"/>
    <w:rsid w:val="006D5FD7"/>
    <w:rsid w:val="006E36B7"/>
    <w:rsid w:val="006E6725"/>
    <w:rsid w:val="0070418C"/>
    <w:rsid w:val="00766739"/>
    <w:rsid w:val="00797A4A"/>
    <w:rsid w:val="007B1EA4"/>
    <w:rsid w:val="007D7BA7"/>
    <w:rsid w:val="007E1472"/>
    <w:rsid w:val="007F0078"/>
    <w:rsid w:val="00802EE4"/>
    <w:rsid w:val="008123EE"/>
    <w:rsid w:val="0082099D"/>
    <w:rsid w:val="008414CA"/>
    <w:rsid w:val="0084595E"/>
    <w:rsid w:val="00846590"/>
    <w:rsid w:val="008518FB"/>
    <w:rsid w:val="00852726"/>
    <w:rsid w:val="00874D13"/>
    <w:rsid w:val="008763D1"/>
    <w:rsid w:val="00881799"/>
    <w:rsid w:val="00893ACA"/>
    <w:rsid w:val="008D4E10"/>
    <w:rsid w:val="008D50D4"/>
    <w:rsid w:val="009001FC"/>
    <w:rsid w:val="00905827"/>
    <w:rsid w:val="00910CEA"/>
    <w:rsid w:val="009117C7"/>
    <w:rsid w:val="00920324"/>
    <w:rsid w:val="00927068"/>
    <w:rsid w:val="00936277"/>
    <w:rsid w:val="00940176"/>
    <w:rsid w:val="00966C6B"/>
    <w:rsid w:val="00990933"/>
    <w:rsid w:val="00997E04"/>
    <w:rsid w:val="009A7B65"/>
    <w:rsid w:val="009C0815"/>
    <w:rsid w:val="009F5699"/>
    <w:rsid w:val="00A078CB"/>
    <w:rsid w:val="00A219B6"/>
    <w:rsid w:val="00A24527"/>
    <w:rsid w:val="00A27AF2"/>
    <w:rsid w:val="00A6022E"/>
    <w:rsid w:val="00A6250E"/>
    <w:rsid w:val="00A86B6A"/>
    <w:rsid w:val="00A96ED9"/>
    <w:rsid w:val="00B0483B"/>
    <w:rsid w:val="00B07F5C"/>
    <w:rsid w:val="00B30090"/>
    <w:rsid w:val="00B335D1"/>
    <w:rsid w:val="00B63F4C"/>
    <w:rsid w:val="00B67739"/>
    <w:rsid w:val="00B74218"/>
    <w:rsid w:val="00BA7973"/>
    <w:rsid w:val="00BB2E09"/>
    <w:rsid w:val="00BC30BE"/>
    <w:rsid w:val="00BC6FE1"/>
    <w:rsid w:val="00BE6B17"/>
    <w:rsid w:val="00BF104E"/>
    <w:rsid w:val="00C20179"/>
    <w:rsid w:val="00C23C70"/>
    <w:rsid w:val="00C407FE"/>
    <w:rsid w:val="00C50ED3"/>
    <w:rsid w:val="00C64E85"/>
    <w:rsid w:val="00C74ECF"/>
    <w:rsid w:val="00C86E21"/>
    <w:rsid w:val="00CB68AA"/>
    <w:rsid w:val="00CC244D"/>
    <w:rsid w:val="00CC2963"/>
    <w:rsid w:val="00CC67DB"/>
    <w:rsid w:val="00CE4CDB"/>
    <w:rsid w:val="00CF3FCF"/>
    <w:rsid w:val="00CF5DEC"/>
    <w:rsid w:val="00D35E88"/>
    <w:rsid w:val="00D36E4E"/>
    <w:rsid w:val="00D47CC5"/>
    <w:rsid w:val="00D5153B"/>
    <w:rsid w:val="00D70F09"/>
    <w:rsid w:val="00D75CDD"/>
    <w:rsid w:val="00DA0B21"/>
    <w:rsid w:val="00DA3692"/>
    <w:rsid w:val="00DB7656"/>
    <w:rsid w:val="00DD0FCE"/>
    <w:rsid w:val="00DE54EC"/>
    <w:rsid w:val="00DF2085"/>
    <w:rsid w:val="00DF6A6D"/>
    <w:rsid w:val="00E11AB3"/>
    <w:rsid w:val="00E15A9C"/>
    <w:rsid w:val="00E22622"/>
    <w:rsid w:val="00E35536"/>
    <w:rsid w:val="00E44587"/>
    <w:rsid w:val="00E46DAC"/>
    <w:rsid w:val="00E61168"/>
    <w:rsid w:val="00E63246"/>
    <w:rsid w:val="00E7312D"/>
    <w:rsid w:val="00E744E7"/>
    <w:rsid w:val="00EE05DC"/>
    <w:rsid w:val="00EF5CAF"/>
    <w:rsid w:val="00F007E6"/>
    <w:rsid w:val="00F153F1"/>
    <w:rsid w:val="00F167F9"/>
    <w:rsid w:val="00F17145"/>
    <w:rsid w:val="00F47DCF"/>
    <w:rsid w:val="00F5660F"/>
    <w:rsid w:val="00F61A09"/>
    <w:rsid w:val="00F65F46"/>
    <w:rsid w:val="00F73EDC"/>
    <w:rsid w:val="00F879CC"/>
    <w:rsid w:val="00F91A6E"/>
    <w:rsid w:val="00FA2E7A"/>
    <w:rsid w:val="00FA332C"/>
    <w:rsid w:val="00FB400A"/>
    <w:rsid w:val="00FC6A7C"/>
    <w:rsid w:val="00FE04D1"/>
    <w:rsid w:val="00FE23EF"/>
    <w:rsid w:val="00FE336C"/>
    <w:rsid w:val="00FE741A"/>
    <w:rsid w:val="018AC5E2"/>
    <w:rsid w:val="02823FE6"/>
    <w:rsid w:val="04614E3F"/>
    <w:rsid w:val="0503CD02"/>
    <w:rsid w:val="053247F0"/>
    <w:rsid w:val="0649E947"/>
    <w:rsid w:val="0797D63C"/>
    <w:rsid w:val="07C1DB44"/>
    <w:rsid w:val="0897C166"/>
    <w:rsid w:val="08BD1AE4"/>
    <w:rsid w:val="0A58EB45"/>
    <w:rsid w:val="0A8D4911"/>
    <w:rsid w:val="0B5AC5A2"/>
    <w:rsid w:val="0BF4935C"/>
    <w:rsid w:val="0ED475C2"/>
    <w:rsid w:val="0F4A05E2"/>
    <w:rsid w:val="0FB4ED41"/>
    <w:rsid w:val="14E4264B"/>
    <w:rsid w:val="18A532A3"/>
    <w:rsid w:val="194E0518"/>
    <w:rsid w:val="1ED1712F"/>
    <w:rsid w:val="2389D167"/>
    <w:rsid w:val="247F7CE8"/>
    <w:rsid w:val="248DB906"/>
    <w:rsid w:val="275D3E13"/>
    <w:rsid w:val="2B7D5A43"/>
    <w:rsid w:val="2E2E4CB4"/>
    <w:rsid w:val="2E58EC56"/>
    <w:rsid w:val="32A4F698"/>
    <w:rsid w:val="353B6D25"/>
    <w:rsid w:val="367A04AC"/>
    <w:rsid w:val="39B10066"/>
    <w:rsid w:val="3E321D68"/>
    <w:rsid w:val="3F9364A8"/>
    <w:rsid w:val="3F9AB7BA"/>
    <w:rsid w:val="42B23FB3"/>
    <w:rsid w:val="43D83B9B"/>
    <w:rsid w:val="47A50415"/>
    <w:rsid w:val="49872325"/>
    <w:rsid w:val="4EE8B54D"/>
    <w:rsid w:val="5162E440"/>
    <w:rsid w:val="5186D71C"/>
    <w:rsid w:val="51F7204D"/>
    <w:rsid w:val="52FEB4A1"/>
    <w:rsid w:val="5906F1B2"/>
    <w:rsid w:val="59A745A7"/>
    <w:rsid w:val="5B5ED45B"/>
    <w:rsid w:val="62430B5A"/>
    <w:rsid w:val="629074DD"/>
    <w:rsid w:val="6571458A"/>
    <w:rsid w:val="698DA04E"/>
    <w:rsid w:val="69CCCF84"/>
    <w:rsid w:val="6CAA7FDA"/>
    <w:rsid w:val="6CF5CA67"/>
    <w:rsid w:val="6E46503B"/>
    <w:rsid w:val="6FB2AE2D"/>
    <w:rsid w:val="708ED16B"/>
    <w:rsid w:val="70DA0C1E"/>
    <w:rsid w:val="72E407B2"/>
    <w:rsid w:val="761BA874"/>
    <w:rsid w:val="7664E9EE"/>
    <w:rsid w:val="77033932"/>
    <w:rsid w:val="7779BA53"/>
    <w:rsid w:val="7B1F32B4"/>
    <w:rsid w:val="7C595E45"/>
    <w:rsid w:val="7D1A9410"/>
    <w:rsid w:val="7E56D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D611E"/>
  <w15:chartTrackingRefBased/>
  <w15:docId w15:val="{339E9BAA-DB87-4524-B283-48892C93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CA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4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25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50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250E"/>
    <w:rPr>
      <w:rFonts w:eastAsiaTheme="minorEastAsia"/>
      <w:color w:val="5A5A5A" w:themeColor="text1" w:themeTint="A5"/>
      <w:spacing w:val="15"/>
    </w:rPr>
  </w:style>
  <w:style w:type="paragraph" w:styleId="Header">
    <w:name w:val="header"/>
    <w:basedOn w:val="Normal"/>
    <w:link w:val="HeaderChar"/>
    <w:uiPriority w:val="99"/>
    <w:unhideWhenUsed/>
    <w:rsid w:val="00A6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50E"/>
  </w:style>
  <w:style w:type="paragraph" w:styleId="Footer">
    <w:name w:val="footer"/>
    <w:basedOn w:val="Normal"/>
    <w:link w:val="FooterChar"/>
    <w:uiPriority w:val="99"/>
    <w:unhideWhenUsed/>
    <w:rsid w:val="00A6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50E"/>
  </w:style>
  <w:style w:type="paragraph" w:styleId="FootnoteText">
    <w:name w:val="footnote text"/>
    <w:basedOn w:val="Normal"/>
    <w:link w:val="FootnoteTextChar"/>
    <w:uiPriority w:val="99"/>
    <w:semiHidden/>
    <w:unhideWhenUsed/>
    <w:rsid w:val="005805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578"/>
    <w:rPr>
      <w:sz w:val="20"/>
      <w:szCs w:val="20"/>
    </w:rPr>
  </w:style>
  <w:style w:type="character" w:styleId="FootnoteReference">
    <w:name w:val="footnote reference"/>
    <w:basedOn w:val="DefaultParagraphFont"/>
    <w:uiPriority w:val="99"/>
    <w:semiHidden/>
    <w:unhideWhenUsed/>
    <w:rsid w:val="00580578"/>
    <w:rPr>
      <w:vertAlign w:val="superscript"/>
    </w:rPr>
  </w:style>
  <w:style w:type="character" w:styleId="Hyperlink">
    <w:name w:val="Hyperlink"/>
    <w:basedOn w:val="DefaultParagraphFont"/>
    <w:uiPriority w:val="99"/>
    <w:unhideWhenUsed/>
    <w:rsid w:val="00580578"/>
    <w:rPr>
      <w:color w:val="0563C1" w:themeColor="hyperlink"/>
      <w:u w:val="single"/>
    </w:rPr>
  </w:style>
  <w:style w:type="character" w:styleId="UnresolvedMention">
    <w:name w:val="Unresolved Mention"/>
    <w:basedOn w:val="DefaultParagraphFont"/>
    <w:uiPriority w:val="99"/>
    <w:semiHidden/>
    <w:unhideWhenUsed/>
    <w:rsid w:val="00580578"/>
    <w:rPr>
      <w:color w:val="605E5C"/>
      <w:shd w:val="clear" w:color="auto" w:fill="E1DFDD"/>
    </w:rPr>
  </w:style>
  <w:style w:type="character" w:styleId="FollowedHyperlink">
    <w:name w:val="FollowedHyperlink"/>
    <w:basedOn w:val="DefaultParagraphFont"/>
    <w:uiPriority w:val="99"/>
    <w:semiHidden/>
    <w:unhideWhenUsed/>
    <w:rsid w:val="00802EE4"/>
    <w:rPr>
      <w:color w:val="954F72" w:themeColor="followedHyperlink"/>
      <w:u w:val="single"/>
    </w:rPr>
  </w:style>
  <w:style w:type="paragraph" w:styleId="CommentText">
    <w:name w:val="annotation text"/>
    <w:basedOn w:val="Normal"/>
    <w:link w:val="CommentTextChar"/>
    <w:uiPriority w:val="99"/>
    <w:semiHidden/>
    <w:unhideWhenUsed/>
    <w:rsid w:val="004B3AB0"/>
    <w:pPr>
      <w:spacing w:line="240" w:lineRule="auto"/>
    </w:pPr>
    <w:rPr>
      <w:sz w:val="20"/>
      <w:szCs w:val="20"/>
    </w:rPr>
  </w:style>
  <w:style w:type="character" w:customStyle="1" w:styleId="CommentTextChar">
    <w:name w:val="Comment Text Char"/>
    <w:basedOn w:val="DefaultParagraphFont"/>
    <w:link w:val="CommentText"/>
    <w:uiPriority w:val="99"/>
    <w:semiHidden/>
    <w:rsid w:val="004B3AB0"/>
    <w:rPr>
      <w:sz w:val="20"/>
      <w:szCs w:val="20"/>
    </w:rPr>
  </w:style>
  <w:style w:type="character" w:styleId="CommentReference">
    <w:name w:val="annotation reference"/>
    <w:basedOn w:val="DefaultParagraphFont"/>
    <w:uiPriority w:val="99"/>
    <w:semiHidden/>
    <w:unhideWhenUsed/>
    <w:rsid w:val="004B3AB0"/>
    <w:rPr>
      <w:sz w:val="16"/>
      <w:szCs w:val="16"/>
    </w:rPr>
  </w:style>
  <w:style w:type="paragraph" w:styleId="Revision">
    <w:name w:val="Revision"/>
    <w:hidden/>
    <w:uiPriority w:val="99"/>
    <w:semiHidden/>
    <w:rsid w:val="00037344"/>
    <w:pPr>
      <w:spacing w:after="0" w:line="240" w:lineRule="auto"/>
    </w:pPr>
  </w:style>
  <w:style w:type="paragraph" w:styleId="CommentSubject">
    <w:name w:val="annotation subject"/>
    <w:basedOn w:val="CommentText"/>
    <w:next w:val="CommentText"/>
    <w:link w:val="CommentSubjectChar"/>
    <w:uiPriority w:val="99"/>
    <w:semiHidden/>
    <w:unhideWhenUsed/>
    <w:rsid w:val="0084595E"/>
    <w:rPr>
      <w:b/>
      <w:bCs/>
    </w:rPr>
  </w:style>
  <w:style w:type="character" w:customStyle="1" w:styleId="CommentSubjectChar">
    <w:name w:val="Comment Subject Char"/>
    <w:basedOn w:val="CommentTextChar"/>
    <w:link w:val="CommentSubject"/>
    <w:uiPriority w:val="99"/>
    <w:semiHidden/>
    <w:rsid w:val="0084595E"/>
    <w:rPr>
      <w:b/>
      <w:bCs/>
      <w:sz w:val="20"/>
      <w:szCs w:val="20"/>
    </w:rPr>
  </w:style>
  <w:style w:type="character" w:customStyle="1" w:styleId="Heading1Char">
    <w:name w:val="Heading 1 Char"/>
    <w:basedOn w:val="DefaultParagraphFont"/>
    <w:link w:val="Heading1"/>
    <w:uiPriority w:val="9"/>
    <w:rsid w:val="00EF5CA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F5CAF"/>
    <w:pPr>
      <w:spacing w:after="120" w:line="240" w:lineRule="auto"/>
      <w:ind w:left="720"/>
      <w:contextualSpacing/>
    </w:pPr>
  </w:style>
  <w:style w:type="paragraph" w:customStyle="1" w:styleId="ResolutionsTitle">
    <w:name w:val="Resolutions Title"/>
    <w:basedOn w:val="Heading1"/>
    <w:link w:val="ResolutionsTitleChar"/>
    <w:autoRedefine/>
    <w:qFormat/>
    <w:rsid w:val="00CE4CDB"/>
    <w:pPr>
      <w:spacing w:after="120"/>
    </w:pPr>
    <w:rPr>
      <w:rFonts w:ascii="Calibri" w:hAnsi="Calibri"/>
      <w:b/>
      <w:bCs/>
      <w:noProof/>
      <w:color w:val="auto"/>
      <w:sz w:val="24"/>
      <w:szCs w:val="24"/>
    </w:rPr>
  </w:style>
  <w:style w:type="paragraph" w:styleId="TOCHeading">
    <w:name w:val="TOC Heading"/>
    <w:basedOn w:val="Heading1"/>
    <w:next w:val="Normal"/>
    <w:uiPriority w:val="39"/>
    <w:unhideWhenUsed/>
    <w:qFormat/>
    <w:rsid w:val="004F23D1"/>
    <w:pPr>
      <w:spacing w:line="259" w:lineRule="auto"/>
      <w:outlineLvl w:val="9"/>
    </w:pPr>
  </w:style>
  <w:style w:type="character" w:customStyle="1" w:styleId="ResolutionsTitleChar">
    <w:name w:val="Resolutions Title Char"/>
    <w:basedOn w:val="Heading1Char"/>
    <w:link w:val="ResolutionsTitle"/>
    <w:rsid w:val="00CE4CDB"/>
    <w:rPr>
      <w:rFonts w:ascii="Calibri" w:eastAsiaTheme="majorEastAsia" w:hAnsi="Calibri" w:cstheme="majorBidi"/>
      <w:b/>
      <w:bCs/>
      <w:noProof/>
      <w:color w:val="2F5496" w:themeColor="accent1" w:themeShade="BF"/>
      <w:sz w:val="24"/>
      <w:szCs w:val="24"/>
    </w:rPr>
  </w:style>
  <w:style w:type="paragraph" w:styleId="TOC1">
    <w:name w:val="toc 1"/>
    <w:basedOn w:val="Normal"/>
    <w:next w:val="Normal"/>
    <w:autoRedefine/>
    <w:uiPriority w:val="39"/>
    <w:unhideWhenUsed/>
    <w:rsid w:val="004F23D1"/>
    <w:pPr>
      <w:spacing w:after="100"/>
    </w:pPr>
  </w:style>
  <w:style w:type="paragraph" w:customStyle="1" w:styleId="ResolutionsTitles">
    <w:name w:val="Resolutions Titles"/>
    <w:basedOn w:val="Heading2"/>
    <w:next w:val="Heading2"/>
    <w:link w:val="ResolutionsTitlesChar"/>
    <w:autoRedefine/>
    <w:qFormat/>
    <w:rsid w:val="00BF104E"/>
    <w:pPr>
      <w:spacing w:before="240" w:after="120"/>
    </w:pPr>
    <w:rPr>
      <w:rFonts w:ascii="Calibri" w:hAnsi="Calibri"/>
      <w:b/>
      <w:noProof/>
      <w:color w:val="auto"/>
      <w:sz w:val="24"/>
    </w:rPr>
  </w:style>
  <w:style w:type="paragraph" w:styleId="TOC2">
    <w:name w:val="toc 2"/>
    <w:basedOn w:val="Normal"/>
    <w:next w:val="Normal"/>
    <w:autoRedefine/>
    <w:uiPriority w:val="39"/>
    <w:unhideWhenUsed/>
    <w:rsid w:val="00DF2085"/>
    <w:pPr>
      <w:tabs>
        <w:tab w:val="right" w:leader="dot" w:pos="9360"/>
      </w:tabs>
      <w:spacing w:after="100"/>
      <w:ind w:left="220"/>
    </w:pPr>
  </w:style>
  <w:style w:type="character" w:customStyle="1" w:styleId="Heading2Char">
    <w:name w:val="Heading 2 Char"/>
    <w:basedOn w:val="DefaultParagraphFont"/>
    <w:link w:val="Heading2"/>
    <w:uiPriority w:val="9"/>
    <w:semiHidden/>
    <w:rsid w:val="00CE4CDB"/>
    <w:rPr>
      <w:rFonts w:asciiTheme="majorHAnsi" w:eastAsiaTheme="majorEastAsia" w:hAnsiTheme="majorHAnsi" w:cstheme="majorBidi"/>
      <w:color w:val="2F5496" w:themeColor="accent1" w:themeShade="BF"/>
      <w:sz w:val="26"/>
      <w:szCs w:val="26"/>
    </w:rPr>
  </w:style>
  <w:style w:type="character" w:customStyle="1" w:styleId="ResolutionsTitlesChar">
    <w:name w:val="Resolutions Titles Char"/>
    <w:basedOn w:val="Heading2Char"/>
    <w:link w:val="ResolutionsTitles"/>
    <w:rsid w:val="00BF104E"/>
    <w:rPr>
      <w:rFonts w:ascii="Calibri" w:eastAsiaTheme="majorEastAsia" w:hAnsi="Calibri" w:cstheme="majorBidi"/>
      <w:b/>
      <w:noProof/>
      <w:color w:val="2F5496" w:themeColor="accent1" w:themeShade="BF"/>
      <w:sz w:val="24"/>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397">
      <w:bodyDiv w:val="1"/>
      <w:marLeft w:val="0"/>
      <w:marRight w:val="0"/>
      <w:marTop w:val="0"/>
      <w:marBottom w:val="0"/>
      <w:divBdr>
        <w:top w:val="none" w:sz="0" w:space="0" w:color="auto"/>
        <w:left w:val="none" w:sz="0" w:space="0" w:color="auto"/>
        <w:bottom w:val="none" w:sz="0" w:space="0" w:color="auto"/>
        <w:right w:val="none" w:sz="0" w:space="0" w:color="auto"/>
      </w:divBdr>
      <w:divsChild>
        <w:div w:id="894589606">
          <w:marLeft w:val="0"/>
          <w:marRight w:val="0"/>
          <w:marTop w:val="0"/>
          <w:marBottom w:val="75"/>
          <w:divBdr>
            <w:top w:val="none" w:sz="0" w:space="0" w:color="auto"/>
            <w:left w:val="none" w:sz="0" w:space="0" w:color="auto"/>
            <w:bottom w:val="none" w:sz="0" w:space="0" w:color="auto"/>
            <w:right w:val="none" w:sz="0" w:space="0" w:color="auto"/>
          </w:divBdr>
          <w:divsChild>
            <w:div w:id="58404745">
              <w:marLeft w:val="0"/>
              <w:marRight w:val="0"/>
              <w:marTop w:val="0"/>
              <w:marBottom w:val="0"/>
              <w:divBdr>
                <w:top w:val="none" w:sz="0" w:space="0" w:color="auto"/>
                <w:left w:val="none" w:sz="0" w:space="0" w:color="auto"/>
                <w:bottom w:val="none" w:sz="0" w:space="0" w:color="auto"/>
                <w:right w:val="none" w:sz="0" w:space="0" w:color="auto"/>
              </w:divBdr>
            </w:div>
            <w:div w:id="1126046126">
              <w:marLeft w:val="0"/>
              <w:marRight w:val="0"/>
              <w:marTop w:val="0"/>
              <w:marBottom w:val="0"/>
              <w:divBdr>
                <w:top w:val="none" w:sz="0" w:space="0" w:color="auto"/>
                <w:left w:val="none" w:sz="0" w:space="0" w:color="auto"/>
                <w:bottom w:val="none" w:sz="0" w:space="0" w:color="auto"/>
                <w:right w:val="none" w:sz="0" w:space="0" w:color="auto"/>
              </w:divBdr>
              <w:divsChild>
                <w:div w:id="6383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3355">
          <w:marLeft w:val="0"/>
          <w:marRight w:val="0"/>
          <w:marTop w:val="0"/>
          <w:marBottom w:val="75"/>
          <w:divBdr>
            <w:top w:val="none" w:sz="0" w:space="0" w:color="auto"/>
            <w:left w:val="none" w:sz="0" w:space="0" w:color="auto"/>
            <w:bottom w:val="none" w:sz="0" w:space="0" w:color="auto"/>
            <w:right w:val="none" w:sz="0" w:space="0" w:color="auto"/>
          </w:divBdr>
          <w:divsChild>
            <w:div w:id="1116216572">
              <w:marLeft w:val="0"/>
              <w:marRight w:val="0"/>
              <w:marTop w:val="0"/>
              <w:marBottom w:val="0"/>
              <w:divBdr>
                <w:top w:val="none" w:sz="0" w:space="0" w:color="auto"/>
                <w:left w:val="none" w:sz="0" w:space="0" w:color="auto"/>
                <w:bottom w:val="none" w:sz="0" w:space="0" w:color="auto"/>
                <w:right w:val="none" w:sz="0" w:space="0" w:color="auto"/>
              </w:divBdr>
              <w:divsChild>
                <w:div w:id="11240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47672">
      <w:bodyDiv w:val="1"/>
      <w:marLeft w:val="0"/>
      <w:marRight w:val="0"/>
      <w:marTop w:val="0"/>
      <w:marBottom w:val="0"/>
      <w:divBdr>
        <w:top w:val="none" w:sz="0" w:space="0" w:color="auto"/>
        <w:left w:val="none" w:sz="0" w:space="0" w:color="auto"/>
        <w:bottom w:val="none" w:sz="0" w:space="0" w:color="auto"/>
        <w:right w:val="none" w:sz="0" w:space="0" w:color="auto"/>
      </w:divBdr>
    </w:div>
    <w:div w:id="570577705">
      <w:bodyDiv w:val="1"/>
      <w:marLeft w:val="0"/>
      <w:marRight w:val="0"/>
      <w:marTop w:val="0"/>
      <w:marBottom w:val="0"/>
      <w:divBdr>
        <w:top w:val="none" w:sz="0" w:space="0" w:color="auto"/>
        <w:left w:val="none" w:sz="0" w:space="0" w:color="auto"/>
        <w:bottom w:val="none" w:sz="0" w:space="0" w:color="auto"/>
        <w:right w:val="none" w:sz="0" w:space="0" w:color="auto"/>
      </w:divBdr>
    </w:div>
    <w:div w:id="967316713">
      <w:bodyDiv w:val="1"/>
      <w:marLeft w:val="0"/>
      <w:marRight w:val="0"/>
      <w:marTop w:val="0"/>
      <w:marBottom w:val="0"/>
      <w:divBdr>
        <w:top w:val="none" w:sz="0" w:space="0" w:color="auto"/>
        <w:left w:val="none" w:sz="0" w:space="0" w:color="auto"/>
        <w:bottom w:val="none" w:sz="0" w:space="0" w:color="auto"/>
        <w:right w:val="none" w:sz="0" w:space="0" w:color="auto"/>
      </w:divBdr>
      <w:divsChild>
        <w:div w:id="534931355">
          <w:marLeft w:val="0"/>
          <w:marRight w:val="0"/>
          <w:marTop w:val="0"/>
          <w:marBottom w:val="0"/>
          <w:divBdr>
            <w:top w:val="none" w:sz="0" w:space="0" w:color="auto"/>
            <w:left w:val="none" w:sz="0" w:space="0" w:color="auto"/>
            <w:bottom w:val="none" w:sz="0" w:space="0" w:color="auto"/>
            <w:right w:val="none" w:sz="0" w:space="0" w:color="auto"/>
          </w:divBdr>
          <w:divsChild>
            <w:div w:id="176163388">
              <w:marLeft w:val="0"/>
              <w:marRight w:val="0"/>
              <w:marTop w:val="0"/>
              <w:marBottom w:val="0"/>
              <w:divBdr>
                <w:top w:val="none" w:sz="0" w:space="0" w:color="auto"/>
                <w:left w:val="none" w:sz="0" w:space="0" w:color="auto"/>
                <w:bottom w:val="none" w:sz="0" w:space="0" w:color="auto"/>
                <w:right w:val="none" w:sz="0" w:space="0" w:color="auto"/>
              </w:divBdr>
              <w:divsChild>
                <w:div w:id="1319920007">
                  <w:marLeft w:val="0"/>
                  <w:marRight w:val="0"/>
                  <w:marTop w:val="0"/>
                  <w:marBottom w:val="0"/>
                  <w:divBdr>
                    <w:top w:val="none" w:sz="0" w:space="0" w:color="auto"/>
                    <w:left w:val="none" w:sz="0" w:space="0" w:color="auto"/>
                    <w:bottom w:val="none" w:sz="0" w:space="0" w:color="auto"/>
                    <w:right w:val="none" w:sz="0" w:space="0" w:color="auto"/>
                  </w:divBdr>
                  <w:divsChild>
                    <w:div w:id="729311091">
                      <w:marLeft w:val="0"/>
                      <w:marRight w:val="0"/>
                      <w:marTop w:val="0"/>
                      <w:marBottom w:val="0"/>
                      <w:divBdr>
                        <w:top w:val="none" w:sz="0" w:space="0" w:color="auto"/>
                        <w:left w:val="none" w:sz="0" w:space="0" w:color="auto"/>
                        <w:bottom w:val="none" w:sz="0" w:space="0" w:color="auto"/>
                        <w:right w:val="none" w:sz="0" w:space="0" w:color="auto"/>
                      </w:divBdr>
                      <w:divsChild>
                        <w:div w:id="334579854">
                          <w:marLeft w:val="0"/>
                          <w:marRight w:val="0"/>
                          <w:marTop w:val="0"/>
                          <w:marBottom w:val="0"/>
                          <w:divBdr>
                            <w:top w:val="none" w:sz="0" w:space="0" w:color="auto"/>
                            <w:left w:val="none" w:sz="0" w:space="0" w:color="auto"/>
                            <w:bottom w:val="none" w:sz="0" w:space="0" w:color="auto"/>
                            <w:right w:val="none" w:sz="0" w:space="0" w:color="auto"/>
                          </w:divBdr>
                          <w:divsChild>
                            <w:div w:id="1250040214">
                              <w:marLeft w:val="180"/>
                              <w:marRight w:val="180"/>
                              <w:marTop w:val="0"/>
                              <w:marBottom w:val="0"/>
                              <w:divBdr>
                                <w:top w:val="single" w:sz="6" w:space="6" w:color="DADCE0"/>
                                <w:left w:val="none" w:sz="0" w:space="0" w:color="auto"/>
                                <w:bottom w:val="none" w:sz="0" w:space="0" w:color="auto"/>
                                <w:right w:val="none" w:sz="0" w:space="0" w:color="auto"/>
                              </w:divBdr>
                              <w:divsChild>
                                <w:div w:id="987592481">
                                  <w:marLeft w:val="0"/>
                                  <w:marRight w:val="0"/>
                                  <w:marTop w:val="90"/>
                                  <w:marBottom w:val="0"/>
                                  <w:divBdr>
                                    <w:top w:val="none" w:sz="0" w:space="0" w:color="auto"/>
                                    <w:left w:val="none" w:sz="0" w:space="0" w:color="auto"/>
                                    <w:bottom w:val="none" w:sz="0" w:space="0" w:color="auto"/>
                                    <w:right w:val="none" w:sz="0" w:space="0" w:color="auto"/>
                                  </w:divBdr>
                                  <w:divsChild>
                                    <w:div w:id="5370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3277">
                          <w:marLeft w:val="0"/>
                          <w:marRight w:val="0"/>
                          <w:marTop w:val="0"/>
                          <w:marBottom w:val="0"/>
                          <w:divBdr>
                            <w:top w:val="none" w:sz="0" w:space="0" w:color="auto"/>
                            <w:left w:val="none" w:sz="0" w:space="0" w:color="auto"/>
                            <w:bottom w:val="none" w:sz="0" w:space="0" w:color="auto"/>
                            <w:right w:val="none" w:sz="0" w:space="0" w:color="auto"/>
                          </w:divBdr>
                          <w:divsChild>
                            <w:div w:id="130486767">
                              <w:marLeft w:val="0"/>
                              <w:marRight w:val="0"/>
                              <w:marTop w:val="0"/>
                              <w:marBottom w:val="0"/>
                              <w:divBdr>
                                <w:top w:val="single" w:sz="6" w:space="3" w:color="DADCE0"/>
                                <w:left w:val="none" w:sz="0" w:space="0" w:color="auto"/>
                                <w:bottom w:val="none" w:sz="0" w:space="0" w:color="auto"/>
                                <w:right w:val="none" w:sz="0" w:space="0" w:color="auto"/>
                              </w:divBdr>
                              <w:divsChild>
                                <w:div w:id="1811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664095">
      <w:bodyDiv w:val="1"/>
      <w:marLeft w:val="0"/>
      <w:marRight w:val="0"/>
      <w:marTop w:val="0"/>
      <w:marBottom w:val="0"/>
      <w:divBdr>
        <w:top w:val="none" w:sz="0" w:space="0" w:color="auto"/>
        <w:left w:val="none" w:sz="0" w:space="0" w:color="auto"/>
        <w:bottom w:val="none" w:sz="0" w:space="0" w:color="auto"/>
        <w:right w:val="none" w:sz="0" w:space="0" w:color="auto"/>
      </w:divBdr>
      <w:divsChild>
        <w:div w:id="1816947958">
          <w:marLeft w:val="0"/>
          <w:marRight w:val="0"/>
          <w:marTop w:val="0"/>
          <w:marBottom w:val="450"/>
          <w:divBdr>
            <w:top w:val="none" w:sz="0" w:space="0" w:color="auto"/>
            <w:left w:val="none" w:sz="0" w:space="0" w:color="auto"/>
            <w:bottom w:val="none" w:sz="0" w:space="0" w:color="auto"/>
            <w:right w:val="none" w:sz="0" w:space="0" w:color="auto"/>
          </w:divBdr>
          <w:divsChild>
            <w:div w:id="383797035">
              <w:marLeft w:val="0"/>
              <w:marRight w:val="0"/>
              <w:marTop w:val="0"/>
              <w:marBottom w:val="0"/>
              <w:divBdr>
                <w:top w:val="none" w:sz="0" w:space="0" w:color="auto"/>
                <w:left w:val="none" w:sz="0" w:space="0" w:color="auto"/>
                <w:bottom w:val="none" w:sz="0" w:space="0" w:color="auto"/>
                <w:right w:val="none" w:sz="0" w:space="0" w:color="auto"/>
              </w:divBdr>
              <w:divsChild>
                <w:div w:id="4405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sccc.org/sites/default/files/ASCCC.ResolutionsHandbook2021update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ccc.org/sites/default/files/ASCCC.ResolutionsHandbook2021updated.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ccc.org/papers/handbook2015"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ccc.org"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leginfo.legislature.ca.gov/faces/billNavClient.xhtml?bill_id=202320240AB607" TargetMode="External"/><Relationship Id="rId13" Type="http://schemas.openxmlformats.org/officeDocument/2006/relationships/hyperlink" Target="https://casetext.com/regulation/california-code-of-regulations/title-5-education/division-6-california-community-colleges/chapter-6-curriculum-and-instruction/subchapter-1-programs-courses-and-classes/article-3-probation-and-dismissal/section-55031-standards-for-probation" TargetMode="External"/><Relationship Id="rId18" Type="http://schemas.openxmlformats.org/officeDocument/2006/relationships/hyperlink" Target="https://www.asccc.org/papers/role-academic-senates-enrollment-management" TargetMode="External"/><Relationship Id="rId26" Type="http://schemas.openxmlformats.org/officeDocument/2006/relationships/hyperlink" Target="https://sjud.senate.ca.gov/sites/sjud.senate.ca.gov/files/sr_45_min_sjud_analysis.pdf" TargetMode="External"/><Relationship Id="rId3" Type="http://schemas.openxmlformats.org/officeDocument/2006/relationships/hyperlink" Target="https://www.asccc.org/papers/participation-part-time-faculty-executive-committee-academic-senate-california-Community" TargetMode="External"/><Relationship Id="rId21" Type="http://schemas.openxmlformats.org/officeDocument/2006/relationships/hyperlink" Target="https://asccc.org/resolutions/faculty-responsibility-equitable-accessible-learning-environments" TargetMode="External"/><Relationship Id="rId7" Type="http://schemas.openxmlformats.org/officeDocument/2006/relationships/hyperlink" Target="https://asccc.org/sites/default/files/2023-02/23-26%20Strategic%20Plan%20Directions%20ASCCC.pdf" TargetMode="External"/><Relationship Id="rId12" Type="http://schemas.openxmlformats.org/officeDocument/2006/relationships/hyperlink" Target="https://codes.findlaw.com/ca/education-code/edc-sect-66406-9.html" TargetMode="External"/><Relationship Id="rId17" Type="http://schemas.openxmlformats.org/officeDocument/2006/relationships/hyperlink" Target="https://www.asccc.org/resolutions/guided-pathways-strategic-enrollment-management-and-program-planning" TargetMode="External"/><Relationship Id="rId25" Type="http://schemas.openxmlformats.org/officeDocument/2006/relationships/hyperlink" Target="https://leginfo.legislature.ca.gov/faces/billTextClient.xhtml?bill_id=202120220SR45" TargetMode="External"/><Relationship Id="rId2" Type="http://schemas.openxmlformats.org/officeDocument/2006/relationships/hyperlink" Target="https://www.asccc.org/resolutions/participation-part-time-faculty-executive-committee" TargetMode="External"/><Relationship Id="rId16" Type="http://schemas.openxmlformats.org/officeDocument/2006/relationships/hyperlink" Target="https://docs.google.com/document/d/15mjK89tej0tnz-bmr6dhaBgK8pF02uFqNcT_sYWrGVw/edit?usp=sharing" TargetMode="External"/><Relationship Id="rId20" Type="http://schemas.openxmlformats.org/officeDocument/2006/relationships/hyperlink" Target="https://www.asccc.org/sites/default/files/2023-03/Enrollment%20Management%20Revisited%20Again%20-%203.17.23.pdf" TargetMode="External"/><Relationship Id="rId1" Type="http://schemas.openxmlformats.org/officeDocument/2006/relationships/hyperlink" Target="https://www.asccc.org/resolutions/part-time-faculty-involvement-local-senates" TargetMode="External"/><Relationship Id="rId6" Type="http://schemas.openxmlformats.org/officeDocument/2006/relationships/hyperlink" Target="https://asccc.org/sites/default/files/2023-02/ASCCC%20Strategic%20Planning%20Process%202023-2026.pdf" TargetMode="External"/><Relationship Id="rId11" Type="http://schemas.openxmlformats.org/officeDocument/2006/relationships/hyperlink" Target="https://casetext.com/regulation/california-code-of-regulations/title-5-education/division-6-california-community-colleges/chapter-10-community-college-administration/subchapter-7-instructional-materials/section-59402-definitions" TargetMode="External"/><Relationship Id="rId24" Type="http://schemas.openxmlformats.org/officeDocument/2006/relationships/hyperlink" Target="https://asccc.org/sites/default/files/2023-03/Effective%20and%20Equitable%20Online%20Education_Final_03_16_2023.pdf" TargetMode="External"/><Relationship Id="rId5" Type="http://schemas.openxmlformats.org/officeDocument/2006/relationships/hyperlink" Target="https://www.asccc.org/sites/default/files/ASCCC_Strategic_Plan_2018-2023_final.pdf" TargetMode="External"/><Relationship Id="rId15" Type="http://schemas.openxmlformats.org/officeDocument/2006/relationships/hyperlink" Target="https://asccc.org/resolutions/examining-conversion-top-cip" TargetMode="External"/><Relationship Id="rId23" Type="http://schemas.openxmlformats.org/officeDocument/2006/relationships/hyperlink" Target="https://www.levelaccess.com/accessibility-regulations/section-508-rehabilitation-act/" TargetMode="External"/><Relationship Id="rId28" Type="http://schemas.openxmlformats.org/officeDocument/2006/relationships/hyperlink" Target="https://sjud.senate.ca.gov/sites/sjud.senate.ca.gov/files/sr_45_min_sjud_analysis.pdf" TargetMode="External"/><Relationship Id="rId10" Type="http://schemas.openxmlformats.org/officeDocument/2006/relationships/hyperlink" Target="https://www.asccc.org/resolutions/ensure-course-cost-transparency-students" TargetMode="External"/><Relationship Id="rId19" Type="http://schemas.openxmlformats.org/officeDocument/2006/relationships/hyperlink" Target="https://www.asccc.org/papers/enrollment-management-revisited" TargetMode="External"/><Relationship Id="rId4" Type="http://schemas.openxmlformats.org/officeDocument/2006/relationships/hyperlink" Target="https://nam12.safelinks.protection.outlook.com/?url=https%3A%2F%2Fdatamart.cccco.edu%2FFaculty-Staff%2FStaff_Demo.aspx&amp;data=05%7C01%7CMBean%40riohondo.edu%7C98bce7d603cd462cdb8108db227c9b7e%7C672cb94a154949f2a29aa67abc976918%7C0%7C0%7C638141690810529240%7CUnknown%7CTWFpbGZsb3d8eyJWIjoiMC4wLjAwMDAiLCJQIjoiV2luMzIiLCJBTiI6Ik1haWwiLCJXVCI6Mn0%3D%7C3000%7C%7C%7C&amp;sdata=%2F1SFJ%2FIGHvt2yErcwM8eReGyjJUXQBB%2BvGW3o6k1g70%3D&amp;reserved=0" TargetMode="External"/><Relationship Id="rId9" Type="http://schemas.openxmlformats.org/officeDocument/2006/relationships/hyperlink" Target="https://codes.findlaw.com/ca/education-code/edc-sect-66406-9.html" TargetMode="External"/><Relationship Id="rId14" Type="http://schemas.openxmlformats.org/officeDocument/2006/relationships/hyperlink" Target="https://rpgroup.org/Portals/0/Documents/Projects/African_American_Transfer_Tipping_Point-(AATTP)-Study/AATTP_Brief1_Fall2022.pdf" TargetMode="External"/><Relationship Id="rId22" Type="http://schemas.openxmlformats.org/officeDocument/2006/relationships/hyperlink" Target="https://www2.ed.gov/about/offices/list/ocr/504faq.html" TargetMode="External"/><Relationship Id="rId27" Type="http://schemas.openxmlformats.org/officeDocument/2006/relationships/hyperlink" Target="https://casetext.com/regulation/california-code-of-regulations/title-5-education/division-6-california-community-colleges/chapter-2-community-college-standards/subchapter-1-minimum-conditions/section-51023-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79eeb2-ec59-4d60-a11f-bb0b64893b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6C2FD4A136E4F854087CA0878E82F" ma:contentTypeVersion="16" ma:contentTypeDescription="Create a new document." ma:contentTypeScope="" ma:versionID="5385c2118560f35bb15125b6a04612d5">
  <xsd:schema xmlns:xsd="http://www.w3.org/2001/XMLSchema" xmlns:xs="http://www.w3.org/2001/XMLSchema" xmlns:p="http://schemas.microsoft.com/office/2006/metadata/properties" xmlns:ns3="100c9456-5b40-459a-8823-0ee56e83d204" xmlns:ns4="a979eeb2-ec59-4d60-a11f-bb0b64893b7f" targetNamespace="http://schemas.microsoft.com/office/2006/metadata/properties" ma:root="true" ma:fieldsID="b527c7e55b240b5e556da6ab91cc0ae2" ns3:_="" ns4:_="">
    <xsd:import namespace="100c9456-5b40-459a-8823-0ee56e83d204"/>
    <xsd:import namespace="a979eeb2-ec59-4d60-a11f-bb0b64893b7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c9456-5b40-459a-8823-0ee56e83d2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79eeb2-ec59-4d60-a11f-bb0b64893b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ECFE9-1F52-4EC2-97E6-FBECCDE84194}">
  <ds:schemaRefs>
    <ds:schemaRef ds:uri="http://schemas.microsoft.com/office/2006/metadata/properties"/>
    <ds:schemaRef ds:uri="http://schemas.microsoft.com/office/infopath/2007/PartnerControls"/>
    <ds:schemaRef ds:uri="a979eeb2-ec59-4d60-a11f-bb0b64893b7f"/>
  </ds:schemaRefs>
</ds:datastoreItem>
</file>

<file path=customXml/itemProps2.xml><?xml version="1.0" encoding="utf-8"?>
<ds:datastoreItem xmlns:ds="http://schemas.openxmlformats.org/officeDocument/2006/customXml" ds:itemID="{C2EA564A-CD55-4429-9BBC-7AFDF1132B77}">
  <ds:schemaRefs>
    <ds:schemaRef ds:uri="http://schemas.openxmlformats.org/officeDocument/2006/bibliography"/>
  </ds:schemaRefs>
</ds:datastoreItem>
</file>

<file path=customXml/itemProps3.xml><?xml version="1.0" encoding="utf-8"?>
<ds:datastoreItem xmlns:ds="http://schemas.openxmlformats.org/officeDocument/2006/customXml" ds:itemID="{802E2D59-5E51-4339-ABB9-493FC0720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c9456-5b40-459a-8823-0ee56e83d204"/>
    <ds:schemaRef ds:uri="a979eeb2-ec59-4d60-a11f-bb0b64893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8097C-833E-4887-B87C-4F4001E37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4093</Words>
  <Characters>23335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Bean</dc:creator>
  <cp:keywords/>
  <dc:description/>
  <cp:lastModifiedBy>Krystinne Mica</cp:lastModifiedBy>
  <cp:revision>2</cp:revision>
  <dcterms:created xsi:type="dcterms:W3CDTF">2023-03-17T19:01:00Z</dcterms:created>
  <dcterms:modified xsi:type="dcterms:W3CDTF">2023-03-17T19:01:00Z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0x010100AA46C2FD4A136E4F854087CA0878E82F</vt:lpwstr>
  </property>
</Properties>
</file>